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F1C1" w14:textId="77777777" w:rsidR="00CD759C" w:rsidRDefault="00395D1F">
      <w:pPr>
        <w:pBdr>
          <w:top w:val="nil"/>
          <w:left w:val="nil"/>
          <w:bottom w:val="nil"/>
          <w:right w:val="nil"/>
          <w:between w:val="nil"/>
        </w:pBdr>
        <w:ind w:left="233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bidi="ar-SA"/>
        </w:rPr>
        <w:drawing>
          <wp:inline distT="0" distB="0" distL="0" distR="0" wp14:anchorId="2010EC85" wp14:editId="444E64D6">
            <wp:extent cx="3340813" cy="61188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340813" cy="611885"/>
                    </a:xfrm>
                    <a:prstGeom prst="rect">
                      <a:avLst/>
                    </a:prstGeom>
                    <a:ln/>
                  </pic:spPr>
                </pic:pic>
              </a:graphicData>
            </a:graphic>
          </wp:inline>
        </w:drawing>
      </w:r>
    </w:p>
    <w:p w14:paraId="34E74551"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275B03DA"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69AF8A59"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0E5B7577"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65B616BE"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15935FED"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51D3C5F6" w14:textId="77777777" w:rsidR="00CD759C" w:rsidRDefault="00CD759C">
      <w:pPr>
        <w:pBdr>
          <w:top w:val="nil"/>
          <w:left w:val="nil"/>
          <w:bottom w:val="nil"/>
          <w:right w:val="nil"/>
          <w:between w:val="nil"/>
        </w:pBdr>
        <w:tabs>
          <w:tab w:val="left" w:pos="6230"/>
        </w:tabs>
        <w:rPr>
          <w:rFonts w:ascii="Times New Roman" w:eastAsia="Times New Roman" w:hAnsi="Times New Roman" w:cs="Times New Roman"/>
          <w:color w:val="000000"/>
          <w:sz w:val="20"/>
          <w:szCs w:val="20"/>
        </w:rPr>
      </w:pPr>
    </w:p>
    <w:p w14:paraId="445E576B"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724C70AB"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798B574A"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71A0A5CB" w14:textId="77777777" w:rsidR="00CD759C" w:rsidRDefault="00CD759C">
      <w:pPr>
        <w:pBdr>
          <w:top w:val="nil"/>
          <w:left w:val="nil"/>
          <w:bottom w:val="nil"/>
          <w:right w:val="nil"/>
          <w:between w:val="nil"/>
        </w:pBdr>
        <w:rPr>
          <w:rFonts w:ascii="Times New Roman" w:eastAsia="Times New Roman" w:hAnsi="Times New Roman" w:cs="Times New Roman"/>
          <w:color w:val="000000"/>
          <w:sz w:val="20"/>
          <w:szCs w:val="20"/>
        </w:rPr>
      </w:pPr>
    </w:p>
    <w:p w14:paraId="3B055CF3" w14:textId="77777777" w:rsidR="00CD759C" w:rsidRDefault="00CD759C">
      <w:pPr>
        <w:spacing w:before="101"/>
        <w:ind w:left="256" w:right="225"/>
        <w:jc w:val="center"/>
        <w:rPr>
          <w:b/>
          <w:sz w:val="28"/>
          <w:szCs w:val="28"/>
        </w:rPr>
      </w:pPr>
    </w:p>
    <w:p w14:paraId="57CBA806" w14:textId="77777777" w:rsidR="00CD759C" w:rsidRDefault="00395D1F">
      <w:pPr>
        <w:spacing w:before="101"/>
        <w:ind w:left="256" w:right="225"/>
        <w:jc w:val="center"/>
        <w:rPr>
          <w:b/>
          <w:sz w:val="28"/>
          <w:szCs w:val="28"/>
        </w:rPr>
      </w:pPr>
      <w:r>
        <w:rPr>
          <w:b/>
          <w:sz w:val="28"/>
          <w:szCs w:val="28"/>
        </w:rPr>
        <w:t>TERMS OF REFERENCE</w:t>
      </w:r>
    </w:p>
    <w:p w14:paraId="3AF9CE8A" w14:textId="77777777" w:rsidR="00CD759C" w:rsidRDefault="00CD759C">
      <w:pPr>
        <w:pBdr>
          <w:top w:val="nil"/>
          <w:left w:val="nil"/>
          <w:bottom w:val="nil"/>
          <w:right w:val="nil"/>
          <w:between w:val="nil"/>
        </w:pBdr>
        <w:spacing w:before="10"/>
        <w:rPr>
          <w:b/>
          <w:color w:val="000000"/>
          <w:sz w:val="27"/>
          <w:szCs w:val="27"/>
        </w:rPr>
      </w:pPr>
    </w:p>
    <w:p w14:paraId="1C754E3D" w14:textId="77777777" w:rsidR="00CD759C" w:rsidRDefault="00CD759C">
      <w:pPr>
        <w:spacing w:before="1"/>
        <w:ind w:left="255" w:right="225"/>
        <w:jc w:val="center"/>
        <w:rPr>
          <w:b/>
          <w:sz w:val="24"/>
          <w:szCs w:val="24"/>
        </w:rPr>
      </w:pPr>
      <w:bookmarkStart w:id="0" w:name="_heading=h.gjdgxs" w:colFirst="0" w:colLast="0"/>
      <w:bookmarkEnd w:id="0"/>
    </w:p>
    <w:p w14:paraId="5B474649" w14:textId="77777777" w:rsidR="00CD759C" w:rsidRDefault="00CD759C">
      <w:pPr>
        <w:spacing w:before="1"/>
        <w:ind w:left="255" w:right="225"/>
        <w:jc w:val="center"/>
        <w:rPr>
          <w:b/>
          <w:sz w:val="24"/>
          <w:szCs w:val="24"/>
        </w:rPr>
      </w:pPr>
    </w:p>
    <w:p w14:paraId="58604D56" w14:textId="77777777" w:rsidR="00CD759C" w:rsidRDefault="00395D1F">
      <w:pPr>
        <w:spacing w:before="1"/>
        <w:ind w:left="255" w:right="225"/>
        <w:jc w:val="center"/>
        <w:rPr>
          <w:b/>
          <w:sz w:val="24"/>
          <w:szCs w:val="24"/>
        </w:rPr>
      </w:pPr>
      <w:r>
        <w:rPr>
          <w:b/>
          <w:sz w:val="24"/>
          <w:szCs w:val="24"/>
        </w:rPr>
        <w:t xml:space="preserve">Call for Tenders </w:t>
      </w:r>
    </w:p>
    <w:p w14:paraId="0183CEE3" w14:textId="77777777" w:rsidR="00810566" w:rsidRDefault="00395D1F">
      <w:pPr>
        <w:spacing w:before="1"/>
        <w:ind w:left="255" w:right="225"/>
        <w:jc w:val="center"/>
        <w:rPr>
          <w:b/>
          <w:sz w:val="24"/>
          <w:szCs w:val="24"/>
        </w:rPr>
      </w:pPr>
      <w:r>
        <w:rPr>
          <w:b/>
          <w:sz w:val="24"/>
          <w:szCs w:val="24"/>
        </w:rPr>
        <w:t xml:space="preserve">For the Provision of </w:t>
      </w:r>
    </w:p>
    <w:p w14:paraId="38A48A7F" w14:textId="77777777" w:rsidR="00CD759C" w:rsidRDefault="00CA09DA">
      <w:pPr>
        <w:spacing w:before="1"/>
        <w:ind w:left="255" w:right="225"/>
        <w:jc w:val="center"/>
        <w:rPr>
          <w:b/>
          <w:sz w:val="24"/>
          <w:szCs w:val="24"/>
        </w:rPr>
      </w:pPr>
      <w:r>
        <w:rPr>
          <w:b/>
          <w:sz w:val="24"/>
          <w:szCs w:val="24"/>
          <w:u w:val="single"/>
        </w:rPr>
        <w:t>Advisory</w:t>
      </w:r>
      <w:r w:rsidR="00810566" w:rsidRPr="00810566">
        <w:rPr>
          <w:b/>
          <w:sz w:val="24"/>
          <w:szCs w:val="24"/>
          <w:u w:val="single"/>
        </w:rPr>
        <w:t xml:space="preserve"> </w:t>
      </w:r>
      <w:r w:rsidR="00395D1F" w:rsidRPr="00810566">
        <w:rPr>
          <w:b/>
          <w:sz w:val="24"/>
          <w:szCs w:val="24"/>
          <w:u w:val="single"/>
        </w:rPr>
        <w:t>Services in t</w:t>
      </w:r>
      <w:r w:rsidR="00395D1F">
        <w:rPr>
          <w:b/>
          <w:sz w:val="24"/>
          <w:szCs w:val="24"/>
          <w:u w:val="single"/>
        </w:rPr>
        <w:t xml:space="preserve">he Sphere of Anti-Corruption </w:t>
      </w:r>
      <w:r w:rsidR="00E3536E">
        <w:rPr>
          <w:b/>
          <w:sz w:val="24"/>
          <w:szCs w:val="24"/>
          <w:u w:val="single"/>
        </w:rPr>
        <w:t>and the EU enlargement process</w:t>
      </w:r>
    </w:p>
    <w:p w14:paraId="1B61EE2D" w14:textId="77777777" w:rsidR="00CD759C" w:rsidRDefault="00CD759C">
      <w:pPr>
        <w:spacing w:before="1"/>
        <w:ind w:left="255" w:right="225"/>
        <w:jc w:val="center"/>
        <w:rPr>
          <w:b/>
          <w:sz w:val="24"/>
          <w:szCs w:val="24"/>
        </w:rPr>
      </w:pPr>
    </w:p>
    <w:p w14:paraId="16FAF098" w14:textId="77777777" w:rsidR="00CD759C" w:rsidRDefault="00CD759C">
      <w:pPr>
        <w:spacing w:before="1"/>
        <w:ind w:left="255" w:right="225"/>
        <w:jc w:val="center"/>
        <w:rPr>
          <w:b/>
          <w:sz w:val="24"/>
          <w:szCs w:val="24"/>
        </w:rPr>
      </w:pPr>
    </w:p>
    <w:p w14:paraId="33ECAC32" w14:textId="77777777" w:rsidR="00CD759C" w:rsidRDefault="00395D1F">
      <w:pPr>
        <w:spacing w:before="1"/>
        <w:ind w:left="255" w:right="225"/>
        <w:jc w:val="center"/>
        <w:rPr>
          <w:b/>
          <w:sz w:val="24"/>
          <w:szCs w:val="24"/>
        </w:rPr>
      </w:pPr>
      <w:r>
        <w:rPr>
          <w:b/>
          <w:sz w:val="24"/>
          <w:szCs w:val="24"/>
        </w:rPr>
        <w:t>EU Anti-Corruption Initiative (EUACI)</w:t>
      </w:r>
    </w:p>
    <w:p w14:paraId="1996BDC1" w14:textId="77777777" w:rsidR="00CD759C" w:rsidRDefault="00CD759C">
      <w:pPr>
        <w:pBdr>
          <w:top w:val="nil"/>
          <w:left w:val="nil"/>
          <w:bottom w:val="nil"/>
          <w:right w:val="nil"/>
          <w:between w:val="nil"/>
        </w:pBdr>
        <w:rPr>
          <w:b/>
          <w:color w:val="000000"/>
          <w:sz w:val="28"/>
          <w:szCs w:val="28"/>
        </w:rPr>
      </w:pPr>
    </w:p>
    <w:p w14:paraId="46FA4272" w14:textId="77777777" w:rsidR="00CD759C" w:rsidRDefault="00CD759C">
      <w:pPr>
        <w:pBdr>
          <w:top w:val="nil"/>
          <w:left w:val="nil"/>
          <w:bottom w:val="nil"/>
          <w:right w:val="nil"/>
          <w:between w:val="nil"/>
        </w:pBdr>
        <w:rPr>
          <w:b/>
          <w:color w:val="000000"/>
          <w:sz w:val="28"/>
          <w:szCs w:val="28"/>
        </w:rPr>
      </w:pPr>
    </w:p>
    <w:p w14:paraId="09D3E523" w14:textId="77777777" w:rsidR="00CD759C" w:rsidRDefault="00CD759C">
      <w:pPr>
        <w:pBdr>
          <w:top w:val="nil"/>
          <w:left w:val="nil"/>
          <w:bottom w:val="nil"/>
          <w:right w:val="nil"/>
          <w:between w:val="nil"/>
        </w:pBdr>
        <w:rPr>
          <w:b/>
          <w:color w:val="000000"/>
          <w:sz w:val="28"/>
          <w:szCs w:val="28"/>
        </w:rPr>
      </w:pPr>
    </w:p>
    <w:p w14:paraId="210A1B66" w14:textId="77777777" w:rsidR="00CD759C" w:rsidRDefault="00CD759C">
      <w:pPr>
        <w:pBdr>
          <w:top w:val="nil"/>
          <w:left w:val="nil"/>
          <w:bottom w:val="nil"/>
          <w:right w:val="nil"/>
          <w:between w:val="nil"/>
        </w:pBdr>
        <w:rPr>
          <w:b/>
          <w:color w:val="000000"/>
          <w:sz w:val="28"/>
          <w:szCs w:val="28"/>
        </w:rPr>
      </w:pPr>
    </w:p>
    <w:p w14:paraId="1BC9EDED" w14:textId="77777777" w:rsidR="00CD759C" w:rsidRDefault="00CD759C">
      <w:pPr>
        <w:pBdr>
          <w:top w:val="nil"/>
          <w:left w:val="nil"/>
          <w:bottom w:val="nil"/>
          <w:right w:val="nil"/>
          <w:between w:val="nil"/>
        </w:pBdr>
        <w:rPr>
          <w:b/>
          <w:color w:val="000000"/>
          <w:sz w:val="28"/>
          <w:szCs w:val="28"/>
        </w:rPr>
      </w:pPr>
    </w:p>
    <w:p w14:paraId="2CB956B8" w14:textId="77777777" w:rsidR="00CD759C" w:rsidRDefault="00CD759C">
      <w:pPr>
        <w:pBdr>
          <w:top w:val="nil"/>
          <w:left w:val="nil"/>
          <w:bottom w:val="nil"/>
          <w:right w:val="nil"/>
          <w:between w:val="nil"/>
        </w:pBdr>
        <w:rPr>
          <w:color w:val="000000"/>
          <w:sz w:val="20"/>
          <w:szCs w:val="20"/>
        </w:rPr>
      </w:pPr>
    </w:p>
    <w:p w14:paraId="5D409E78" w14:textId="77777777" w:rsidR="00CD759C" w:rsidRDefault="00395D1F">
      <w:pPr>
        <w:pBdr>
          <w:top w:val="nil"/>
          <w:left w:val="nil"/>
          <w:bottom w:val="nil"/>
          <w:right w:val="nil"/>
          <w:between w:val="nil"/>
        </w:pBdr>
        <w:spacing w:before="3"/>
        <w:rPr>
          <w:color w:val="000000"/>
          <w:sz w:val="20"/>
          <w:szCs w:val="20"/>
        </w:rPr>
        <w:sectPr w:rsidR="00CD759C" w:rsidSect="00744A93">
          <w:footerReference w:type="default" r:id="rId9"/>
          <w:pgSz w:w="11910" w:h="16840"/>
          <w:pgMar w:top="1240" w:right="740" w:bottom="1200" w:left="1300" w:header="720" w:footer="1000" w:gutter="0"/>
          <w:pgNumType w:start="1"/>
          <w:cols w:space="720"/>
        </w:sectPr>
      </w:pPr>
      <w:r>
        <w:rPr>
          <w:noProof/>
          <w:lang w:bidi="ar-SA"/>
        </w:rPr>
        <w:drawing>
          <wp:anchor distT="0" distB="0" distL="114300" distR="114300" simplePos="0" relativeHeight="251658240" behindDoc="0" locked="0" layoutInCell="1" hidden="0" allowOverlap="1" wp14:anchorId="0E7F3A44" wp14:editId="41EAF1FC">
            <wp:simplePos x="0" y="0"/>
            <wp:positionH relativeFrom="column">
              <wp:posOffset>1907540</wp:posOffset>
            </wp:positionH>
            <wp:positionV relativeFrom="paragraph">
              <wp:posOffset>321945</wp:posOffset>
            </wp:positionV>
            <wp:extent cx="2472055" cy="855345"/>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72055" cy="855345"/>
                    </a:xfrm>
                    <a:prstGeom prst="rect">
                      <a:avLst/>
                    </a:prstGeom>
                    <a:ln/>
                  </pic:spPr>
                </pic:pic>
              </a:graphicData>
            </a:graphic>
          </wp:anchor>
        </w:drawing>
      </w:r>
    </w:p>
    <w:p w14:paraId="130C4254" w14:textId="77777777" w:rsidR="00CD759C" w:rsidRDefault="00395D1F">
      <w:pPr>
        <w:pStyle w:val="Heading1"/>
        <w:ind w:left="0" w:firstLine="0"/>
      </w:pPr>
      <w:r>
        <w:lastRenderedPageBreak/>
        <w:t>Abbreviations</w:t>
      </w:r>
    </w:p>
    <w:p w14:paraId="58595719" w14:textId="77777777" w:rsidR="00CD759C" w:rsidRDefault="00CD759C">
      <w:pPr>
        <w:pBdr>
          <w:top w:val="nil"/>
          <w:left w:val="nil"/>
          <w:bottom w:val="nil"/>
          <w:right w:val="nil"/>
          <w:between w:val="nil"/>
        </w:pBdr>
        <w:rPr>
          <w:b/>
          <w:color w:val="000000"/>
          <w:sz w:val="20"/>
          <w:szCs w:val="20"/>
        </w:rPr>
      </w:pPr>
    </w:p>
    <w:p w14:paraId="766F37F7" w14:textId="77777777" w:rsidR="00CD759C" w:rsidRDefault="00CD759C">
      <w:pPr>
        <w:pBdr>
          <w:top w:val="nil"/>
          <w:left w:val="nil"/>
          <w:bottom w:val="nil"/>
          <w:right w:val="nil"/>
          <w:between w:val="nil"/>
        </w:pBdr>
        <w:spacing w:before="9"/>
        <w:rPr>
          <w:b/>
          <w:color w:val="000000"/>
          <w:sz w:val="25"/>
          <w:szCs w:val="25"/>
        </w:rPr>
      </w:pPr>
    </w:p>
    <w:tbl>
      <w:tblPr>
        <w:tblStyle w:val="a4"/>
        <w:tblW w:w="937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3"/>
        <w:gridCol w:w="7168"/>
      </w:tblGrid>
      <w:tr w:rsidR="00CD759C" w14:paraId="14868A29" w14:textId="77777777">
        <w:trPr>
          <w:trHeight w:val="398"/>
        </w:trPr>
        <w:tc>
          <w:tcPr>
            <w:tcW w:w="2203" w:type="dxa"/>
          </w:tcPr>
          <w:p w14:paraId="23C2EF6D" w14:textId="77777777" w:rsidR="00CD759C" w:rsidRDefault="00395D1F">
            <w:pPr>
              <w:pBdr>
                <w:top w:val="nil"/>
                <w:left w:val="nil"/>
                <w:bottom w:val="nil"/>
                <w:right w:val="nil"/>
                <w:between w:val="nil"/>
              </w:pBdr>
              <w:spacing w:line="267" w:lineRule="auto"/>
              <w:ind w:left="132"/>
              <w:rPr>
                <w:color w:val="000000"/>
              </w:rPr>
            </w:pPr>
            <w:r>
              <w:rPr>
                <w:color w:val="000000"/>
              </w:rPr>
              <w:t>AC</w:t>
            </w:r>
          </w:p>
        </w:tc>
        <w:tc>
          <w:tcPr>
            <w:tcW w:w="7168" w:type="dxa"/>
          </w:tcPr>
          <w:p w14:paraId="0867E345" w14:textId="77777777" w:rsidR="00CD759C" w:rsidRDefault="00395D1F">
            <w:pPr>
              <w:pBdr>
                <w:top w:val="nil"/>
                <w:left w:val="nil"/>
                <w:bottom w:val="nil"/>
                <w:right w:val="nil"/>
                <w:between w:val="nil"/>
              </w:pBdr>
              <w:spacing w:line="267" w:lineRule="auto"/>
              <w:ind w:left="137"/>
              <w:rPr>
                <w:color w:val="000000"/>
              </w:rPr>
            </w:pPr>
            <w:r>
              <w:rPr>
                <w:color w:val="000000"/>
              </w:rPr>
              <w:t>Anti-corruption</w:t>
            </w:r>
          </w:p>
        </w:tc>
      </w:tr>
      <w:tr w:rsidR="00CD759C" w14:paraId="16DB62A3" w14:textId="77777777">
        <w:trPr>
          <w:trHeight w:val="398"/>
        </w:trPr>
        <w:tc>
          <w:tcPr>
            <w:tcW w:w="2203" w:type="dxa"/>
          </w:tcPr>
          <w:p w14:paraId="086F144D" w14:textId="77777777" w:rsidR="00CD759C" w:rsidRDefault="00395D1F">
            <w:pPr>
              <w:pBdr>
                <w:top w:val="nil"/>
                <w:left w:val="nil"/>
                <w:bottom w:val="nil"/>
                <w:right w:val="nil"/>
                <w:between w:val="nil"/>
              </w:pBdr>
              <w:spacing w:line="267" w:lineRule="auto"/>
              <w:ind w:left="132"/>
              <w:rPr>
                <w:color w:val="000000"/>
              </w:rPr>
            </w:pPr>
            <w:r>
              <w:rPr>
                <w:color w:val="000000"/>
              </w:rPr>
              <w:t>ACS</w:t>
            </w:r>
          </w:p>
        </w:tc>
        <w:tc>
          <w:tcPr>
            <w:tcW w:w="7168" w:type="dxa"/>
          </w:tcPr>
          <w:p w14:paraId="286A7370" w14:textId="77777777" w:rsidR="00CD759C" w:rsidRDefault="00395D1F">
            <w:pPr>
              <w:pBdr>
                <w:top w:val="nil"/>
                <w:left w:val="nil"/>
                <w:bottom w:val="nil"/>
                <w:right w:val="nil"/>
                <w:between w:val="nil"/>
              </w:pBdr>
              <w:spacing w:line="267" w:lineRule="auto"/>
              <w:ind w:left="137"/>
              <w:rPr>
                <w:color w:val="000000"/>
              </w:rPr>
            </w:pPr>
            <w:r>
              <w:rPr>
                <w:color w:val="000000"/>
              </w:rPr>
              <w:t>Anti-corruption Strategy</w:t>
            </w:r>
          </w:p>
        </w:tc>
      </w:tr>
      <w:tr w:rsidR="00CD759C" w14:paraId="51BFF0A8" w14:textId="77777777">
        <w:trPr>
          <w:trHeight w:val="398"/>
        </w:trPr>
        <w:tc>
          <w:tcPr>
            <w:tcW w:w="2203" w:type="dxa"/>
          </w:tcPr>
          <w:p w14:paraId="7963BD9C" w14:textId="77777777" w:rsidR="00CD759C" w:rsidRDefault="00395D1F">
            <w:pPr>
              <w:pBdr>
                <w:top w:val="nil"/>
                <w:left w:val="nil"/>
                <w:bottom w:val="nil"/>
                <w:right w:val="nil"/>
                <w:between w:val="nil"/>
              </w:pBdr>
              <w:spacing w:line="267" w:lineRule="auto"/>
              <w:ind w:left="132"/>
              <w:rPr>
                <w:color w:val="000000"/>
              </w:rPr>
            </w:pPr>
            <w:r>
              <w:rPr>
                <w:color w:val="000000"/>
              </w:rPr>
              <w:t>ARMA</w:t>
            </w:r>
          </w:p>
        </w:tc>
        <w:tc>
          <w:tcPr>
            <w:tcW w:w="7168" w:type="dxa"/>
          </w:tcPr>
          <w:p w14:paraId="026E04EF" w14:textId="77777777" w:rsidR="00CD759C" w:rsidRDefault="00395D1F">
            <w:pPr>
              <w:pBdr>
                <w:top w:val="nil"/>
                <w:left w:val="nil"/>
                <w:bottom w:val="nil"/>
                <w:right w:val="nil"/>
                <w:between w:val="nil"/>
              </w:pBdr>
              <w:spacing w:line="267" w:lineRule="auto"/>
              <w:ind w:left="137"/>
              <w:rPr>
                <w:color w:val="000000"/>
              </w:rPr>
            </w:pPr>
            <w:r>
              <w:rPr>
                <w:color w:val="000000"/>
              </w:rPr>
              <w:t>Asset Tracing, Finding and Management Agency</w:t>
            </w:r>
          </w:p>
        </w:tc>
      </w:tr>
      <w:tr w:rsidR="00CD759C" w14:paraId="5F6AC0B8" w14:textId="77777777">
        <w:trPr>
          <w:trHeight w:val="398"/>
        </w:trPr>
        <w:tc>
          <w:tcPr>
            <w:tcW w:w="2203" w:type="dxa"/>
          </w:tcPr>
          <w:p w14:paraId="4B8040D6" w14:textId="77777777" w:rsidR="00CD759C" w:rsidRDefault="00395D1F">
            <w:pPr>
              <w:pBdr>
                <w:top w:val="nil"/>
                <w:left w:val="nil"/>
                <w:bottom w:val="nil"/>
                <w:right w:val="nil"/>
                <w:between w:val="nil"/>
              </w:pBdr>
              <w:spacing w:line="267" w:lineRule="auto"/>
              <w:ind w:left="132"/>
              <w:rPr>
                <w:color w:val="000000"/>
              </w:rPr>
            </w:pPr>
            <w:r>
              <w:rPr>
                <w:color w:val="000000"/>
              </w:rPr>
              <w:t>CAP</w:t>
            </w:r>
          </w:p>
        </w:tc>
        <w:tc>
          <w:tcPr>
            <w:tcW w:w="7168" w:type="dxa"/>
          </w:tcPr>
          <w:p w14:paraId="1244407D" w14:textId="77777777" w:rsidR="00CD759C" w:rsidRDefault="00395D1F">
            <w:pPr>
              <w:pBdr>
                <w:top w:val="nil"/>
                <w:left w:val="nil"/>
                <w:bottom w:val="nil"/>
                <w:right w:val="nil"/>
                <w:between w:val="nil"/>
              </w:pBdr>
              <w:spacing w:line="267" w:lineRule="auto"/>
              <w:ind w:left="137"/>
              <w:rPr>
                <w:color w:val="000000"/>
              </w:rPr>
            </w:pPr>
            <w:r>
              <w:rPr>
                <w:color w:val="000000"/>
              </w:rPr>
              <w:t>Committee on Anti-Corruption Policy of the Verkhovna Rada of Ukraine</w:t>
            </w:r>
          </w:p>
        </w:tc>
      </w:tr>
      <w:tr w:rsidR="0064030C" w14:paraId="65EF8E4A" w14:textId="77777777">
        <w:trPr>
          <w:trHeight w:val="398"/>
        </w:trPr>
        <w:tc>
          <w:tcPr>
            <w:tcW w:w="2203" w:type="dxa"/>
          </w:tcPr>
          <w:p w14:paraId="1D702D5C" w14:textId="77777777" w:rsidR="0064030C" w:rsidRDefault="0064030C">
            <w:pPr>
              <w:pBdr>
                <w:top w:val="nil"/>
                <w:left w:val="nil"/>
                <w:bottom w:val="nil"/>
                <w:right w:val="nil"/>
                <w:between w:val="nil"/>
              </w:pBdr>
              <w:spacing w:line="267" w:lineRule="auto"/>
              <w:ind w:left="132"/>
            </w:pPr>
            <w:r>
              <w:t>DPM</w:t>
            </w:r>
          </w:p>
        </w:tc>
        <w:tc>
          <w:tcPr>
            <w:tcW w:w="7168" w:type="dxa"/>
          </w:tcPr>
          <w:p w14:paraId="7388E614" w14:textId="77777777" w:rsidR="0064030C" w:rsidRPr="000E479E" w:rsidRDefault="000E479E">
            <w:pPr>
              <w:pBdr>
                <w:top w:val="nil"/>
                <w:left w:val="nil"/>
                <w:bottom w:val="nil"/>
                <w:right w:val="nil"/>
                <w:between w:val="nil"/>
              </w:pBdr>
              <w:spacing w:line="267" w:lineRule="auto"/>
              <w:ind w:left="137"/>
              <w:rPr>
                <w:color w:val="000000"/>
              </w:rPr>
            </w:pPr>
            <w:r>
              <w:rPr>
                <w:color w:val="000000"/>
              </w:rPr>
              <w:t xml:space="preserve">Office of </w:t>
            </w:r>
            <w:r w:rsidRPr="000E479E">
              <w:rPr>
                <w:color w:val="000000"/>
              </w:rPr>
              <w:t>Deputy Prime Minister for European and Euro-Atlantic Integration of Ukraine</w:t>
            </w:r>
          </w:p>
        </w:tc>
      </w:tr>
      <w:tr w:rsidR="0064030C" w14:paraId="351D04F5" w14:textId="77777777">
        <w:trPr>
          <w:trHeight w:val="398"/>
        </w:trPr>
        <w:tc>
          <w:tcPr>
            <w:tcW w:w="2203" w:type="dxa"/>
          </w:tcPr>
          <w:p w14:paraId="3232A4FE" w14:textId="77777777" w:rsidR="0064030C" w:rsidRDefault="00395D1F" w:rsidP="00120352">
            <w:pPr>
              <w:pBdr>
                <w:top w:val="nil"/>
                <w:left w:val="nil"/>
                <w:bottom w:val="nil"/>
                <w:right w:val="nil"/>
                <w:between w:val="nil"/>
              </w:pBdr>
              <w:spacing w:line="267" w:lineRule="auto"/>
              <w:ind w:left="132"/>
            </w:pPr>
            <w:r w:rsidRPr="00395D1F">
              <w:t>EU</w:t>
            </w:r>
          </w:p>
        </w:tc>
        <w:tc>
          <w:tcPr>
            <w:tcW w:w="7168" w:type="dxa"/>
          </w:tcPr>
          <w:p w14:paraId="5BF084A1" w14:textId="77777777" w:rsidR="0064030C" w:rsidRDefault="0064030C" w:rsidP="0064030C">
            <w:pPr>
              <w:pBdr>
                <w:top w:val="nil"/>
                <w:left w:val="nil"/>
                <w:bottom w:val="nil"/>
                <w:right w:val="nil"/>
                <w:between w:val="nil"/>
              </w:pBdr>
              <w:spacing w:line="267" w:lineRule="auto"/>
              <w:ind w:left="137"/>
              <w:rPr>
                <w:color w:val="000000"/>
              </w:rPr>
            </w:pPr>
            <w:r>
              <w:rPr>
                <w:color w:val="000000"/>
              </w:rPr>
              <w:t>European Union</w:t>
            </w:r>
          </w:p>
        </w:tc>
      </w:tr>
      <w:tr w:rsidR="0064030C" w14:paraId="3D32207A" w14:textId="77777777">
        <w:trPr>
          <w:trHeight w:val="398"/>
        </w:trPr>
        <w:tc>
          <w:tcPr>
            <w:tcW w:w="2203" w:type="dxa"/>
          </w:tcPr>
          <w:p w14:paraId="3553F722" w14:textId="77777777" w:rsidR="0064030C" w:rsidRDefault="0064030C" w:rsidP="0064030C">
            <w:pPr>
              <w:pBdr>
                <w:top w:val="nil"/>
                <w:left w:val="nil"/>
                <w:bottom w:val="nil"/>
                <w:right w:val="nil"/>
                <w:between w:val="nil"/>
              </w:pBdr>
              <w:spacing w:line="267" w:lineRule="auto"/>
              <w:ind w:left="132"/>
              <w:rPr>
                <w:color w:val="000000"/>
              </w:rPr>
            </w:pPr>
            <w:r>
              <w:rPr>
                <w:color w:val="000000"/>
              </w:rPr>
              <w:t>GOCEEI</w:t>
            </w:r>
          </w:p>
        </w:tc>
        <w:tc>
          <w:tcPr>
            <w:tcW w:w="7168" w:type="dxa"/>
          </w:tcPr>
          <w:p w14:paraId="713C9BCE" w14:textId="77777777" w:rsidR="0064030C" w:rsidRDefault="0064030C" w:rsidP="0064030C">
            <w:pPr>
              <w:pBdr>
                <w:top w:val="nil"/>
                <w:left w:val="nil"/>
                <w:bottom w:val="nil"/>
                <w:right w:val="nil"/>
                <w:between w:val="nil"/>
              </w:pBdr>
              <w:spacing w:line="267" w:lineRule="auto"/>
              <w:ind w:left="137"/>
              <w:rPr>
                <w:color w:val="000000"/>
              </w:rPr>
            </w:pPr>
            <w:r w:rsidRPr="0064030C">
              <w:rPr>
                <w:color w:val="000000"/>
              </w:rPr>
              <w:t xml:space="preserve">The Government Office for </w:t>
            </w:r>
            <w:r>
              <w:rPr>
                <w:color w:val="000000"/>
              </w:rPr>
              <w:t xml:space="preserve">Coordination of </w:t>
            </w:r>
            <w:r w:rsidRPr="0064030C">
              <w:rPr>
                <w:color w:val="000000"/>
              </w:rPr>
              <w:t>European and Euro-Atlantic Integration</w:t>
            </w:r>
          </w:p>
        </w:tc>
      </w:tr>
      <w:tr w:rsidR="0064030C" w14:paraId="2DF610E1" w14:textId="77777777">
        <w:trPr>
          <w:trHeight w:val="398"/>
        </w:trPr>
        <w:tc>
          <w:tcPr>
            <w:tcW w:w="2203" w:type="dxa"/>
          </w:tcPr>
          <w:p w14:paraId="4714BEDD" w14:textId="77777777" w:rsidR="0064030C" w:rsidRDefault="0064030C" w:rsidP="0064030C">
            <w:pPr>
              <w:pBdr>
                <w:top w:val="nil"/>
                <w:left w:val="nil"/>
                <w:bottom w:val="nil"/>
                <w:right w:val="nil"/>
                <w:between w:val="nil"/>
              </w:pBdr>
              <w:spacing w:line="267" w:lineRule="auto"/>
              <w:ind w:left="132"/>
              <w:rPr>
                <w:color w:val="000000"/>
              </w:rPr>
            </w:pPr>
            <w:r>
              <w:rPr>
                <w:color w:val="000000"/>
              </w:rPr>
              <w:t>HACC</w:t>
            </w:r>
          </w:p>
        </w:tc>
        <w:tc>
          <w:tcPr>
            <w:tcW w:w="7168" w:type="dxa"/>
          </w:tcPr>
          <w:p w14:paraId="01EAF643" w14:textId="77777777" w:rsidR="0064030C" w:rsidRDefault="0064030C" w:rsidP="0064030C">
            <w:pPr>
              <w:pBdr>
                <w:top w:val="nil"/>
                <w:left w:val="nil"/>
                <w:bottom w:val="nil"/>
                <w:right w:val="nil"/>
                <w:between w:val="nil"/>
              </w:pBdr>
              <w:spacing w:line="267" w:lineRule="auto"/>
              <w:ind w:left="137"/>
              <w:rPr>
                <w:color w:val="000000"/>
              </w:rPr>
            </w:pPr>
            <w:r>
              <w:rPr>
                <w:color w:val="000000"/>
              </w:rPr>
              <w:t>High Anti-Corruption Court</w:t>
            </w:r>
          </w:p>
        </w:tc>
      </w:tr>
      <w:tr w:rsidR="0064030C" w14:paraId="5CE6C960" w14:textId="77777777">
        <w:trPr>
          <w:trHeight w:val="398"/>
        </w:trPr>
        <w:tc>
          <w:tcPr>
            <w:tcW w:w="2203" w:type="dxa"/>
          </w:tcPr>
          <w:p w14:paraId="53F2457B" w14:textId="77777777" w:rsidR="0064030C" w:rsidRDefault="0064030C" w:rsidP="0064030C">
            <w:pPr>
              <w:pBdr>
                <w:top w:val="nil"/>
                <w:left w:val="nil"/>
                <w:bottom w:val="nil"/>
                <w:right w:val="nil"/>
                <w:between w:val="nil"/>
              </w:pBdr>
              <w:spacing w:line="267" w:lineRule="auto"/>
              <w:ind w:left="132"/>
              <w:rPr>
                <w:color w:val="000000"/>
              </w:rPr>
            </w:pPr>
            <w:r>
              <w:rPr>
                <w:color w:val="000000"/>
              </w:rPr>
              <w:t>NABU</w:t>
            </w:r>
          </w:p>
        </w:tc>
        <w:tc>
          <w:tcPr>
            <w:tcW w:w="7168" w:type="dxa"/>
          </w:tcPr>
          <w:p w14:paraId="106063F1" w14:textId="77777777" w:rsidR="0064030C" w:rsidRDefault="0064030C" w:rsidP="0064030C">
            <w:pPr>
              <w:pBdr>
                <w:top w:val="nil"/>
                <w:left w:val="nil"/>
                <w:bottom w:val="nil"/>
                <w:right w:val="nil"/>
                <w:between w:val="nil"/>
              </w:pBdr>
              <w:spacing w:line="267" w:lineRule="auto"/>
              <w:ind w:left="137"/>
              <w:rPr>
                <w:color w:val="000000"/>
              </w:rPr>
            </w:pPr>
            <w:r>
              <w:rPr>
                <w:color w:val="000000"/>
              </w:rPr>
              <w:t>National Anti-Corruption Bureau of Ukraine</w:t>
            </w:r>
          </w:p>
        </w:tc>
      </w:tr>
      <w:tr w:rsidR="0064030C" w14:paraId="60173F63" w14:textId="77777777">
        <w:trPr>
          <w:trHeight w:val="395"/>
        </w:trPr>
        <w:tc>
          <w:tcPr>
            <w:tcW w:w="2203" w:type="dxa"/>
          </w:tcPr>
          <w:p w14:paraId="1CC843E4" w14:textId="77777777" w:rsidR="0064030C" w:rsidRDefault="0064030C" w:rsidP="0064030C">
            <w:pPr>
              <w:pBdr>
                <w:top w:val="nil"/>
                <w:left w:val="nil"/>
                <w:bottom w:val="nil"/>
                <w:right w:val="nil"/>
                <w:between w:val="nil"/>
              </w:pBdr>
              <w:spacing w:line="267" w:lineRule="auto"/>
              <w:ind w:left="132"/>
              <w:rPr>
                <w:color w:val="000000"/>
              </w:rPr>
            </w:pPr>
            <w:r>
              <w:rPr>
                <w:color w:val="000000"/>
              </w:rPr>
              <w:t>NACP</w:t>
            </w:r>
          </w:p>
        </w:tc>
        <w:tc>
          <w:tcPr>
            <w:tcW w:w="7168" w:type="dxa"/>
          </w:tcPr>
          <w:p w14:paraId="49E13767" w14:textId="77777777" w:rsidR="0064030C" w:rsidRDefault="0064030C" w:rsidP="0064030C">
            <w:pPr>
              <w:pBdr>
                <w:top w:val="nil"/>
                <w:left w:val="nil"/>
                <w:bottom w:val="nil"/>
                <w:right w:val="nil"/>
                <w:between w:val="nil"/>
              </w:pBdr>
              <w:spacing w:line="267" w:lineRule="auto"/>
              <w:ind w:left="137"/>
              <w:rPr>
                <w:color w:val="000000"/>
              </w:rPr>
            </w:pPr>
            <w:r>
              <w:rPr>
                <w:color w:val="000000"/>
              </w:rPr>
              <w:t>National Agency on Corruption Prevention</w:t>
            </w:r>
          </w:p>
        </w:tc>
      </w:tr>
      <w:tr w:rsidR="0064030C" w14:paraId="67FAC3B5" w14:textId="77777777">
        <w:trPr>
          <w:trHeight w:val="397"/>
        </w:trPr>
        <w:tc>
          <w:tcPr>
            <w:tcW w:w="2203" w:type="dxa"/>
          </w:tcPr>
          <w:p w14:paraId="76E7920D" w14:textId="77777777" w:rsidR="0064030C" w:rsidRDefault="0064030C" w:rsidP="0064030C">
            <w:pPr>
              <w:pBdr>
                <w:top w:val="nil"/>
                <w:left w:val="nil"/>
                <w:bottom w:val="nil"/>
                <w:right w:val="nil"/>
                <w:between w:val="nil"/>
              </w:pBdr>
              <w:spacing w:before="2"/>
              <w:ind w:left="132"/>
              <w:rPr>
                <w:color w:val="000000"/>
              </w:rPr>
            </w:pPr>
            <w:r>
              <w:rPr>
                <w:color w:val="000000"/>
              </w:rPr>
              <w:t>SAPO</w:t>
            </w:r>
          </w:p>
        </w:tc>
        <w:tc>
          <w:tcPr>
            <w:tcW w:w="7168" w:type="dxa"/>
          </w:tcPr>
          <w:p w14:paraId="2CDAFBCD" w14:textId="77777777" w:rsidR="0064030C" w:rsidRDefault="0064030C" w:rsidP="0064030C">
            <w:pPr>
              <w:pBdr>
                <w:top w:val="nil"/>
                <w:left w:val="nil"/>
                <w:bottom w:val="nil"/>
                <w:right w:val="nil"/>
                <w:between w:val="nil"/>
              </w:pBdr>
              <w:spacing w:before="2"/>
              <w:ind w:left="137"/>
              <w:rPr>
                <w:color w:val="000000"/>
              </w:rPr>
            </w:pPr>
            <w:r>
              <w:t>Specialised</w:t>
            </w:r>
            <w:r>
              <w:rPr>
                <w:color w:val="000000"/>
              </w:rPr>
              <w:t xml:space="preserve"> Anti-Corruption Prosecution Office</w:t>
            </w:r>
          </w:p>
        </w:tc>
      </w:tr>
      <w:tr w:rsidR="0064030C" w14:paraId="439388A7" w14:textId="77777777">
        <w:trPr>
          <w:trHeight w:val="397"/>
        </w:trPr>
        <w:tc>
          <w:tcPr>
            <w:tcW w:w="2203" w:type="dxa"/>
          </w:tcPr>
          <w:p w14:paraId="1A32E799" w14:textId="77777777" w:rsidR="0064030C" w:rsidRDefault="0064030C" w:rsidP="0064030C">
            <w:pPr>
              <w:pBdr>
                <w:top w:val="nil"/>
                <w:left w:val="nil"/>
                <w:bottom w:val="nil"/>
                <w:right w:val="nil"/>
                <w:between w:val="nil"/>
              </w:pBdr>
              <w:spacing w:before="2"/>
              <w:ind w:left="132"/>
              <w:rPr>
                <w:color w:val="000000"/>
              </w:rPr>
            </w:pPr>
            <w:r>
              <w:t>SFMS</w:t>
            </w:r>
          </w:p>
        </w:tc>
        <w:tc>
          <w:tcPr>
            <w:tcW w:w="7168" w:type="dxa"/>
          </w:tcPr>
          <w:p w14:paraId="2DEBA130" w14:textId="77777777" w:rsidR="0064030C" w:rsidRDefault="0064030C" w:rsidP="0064030C">
            <w:pPr>
              <w:spacing w:before="2"/>
              <w:ind w:left="137"/>
            </w:pPr>
            <w:r>
              <w:t>State Financial Monitoring Service</w:t>
            </w:r>
          </w:p>
        </w:tc>
      </w:tr>
      <w:tr w:rsidR="0064030C" w14:paraId="2188EE01" w14:textId="77777777">
        <w:trPr>
          <w:trHeight w:val="397"/>
        </w:trPr>
        <w:tc>
          <w:tcPr>
            <w:tcW w:w="2203" w:type="dxa"/>
          </w:tcPr>
          <w:p w14:paraId="0DEE3CD2" w14:textId="77777777" w:rsidR="0064030C" w:rsidRDefault="0064030C" w:rsidP="0064030C">
            <w:pPr>
              <w:pBdr>
                <w:top w:val="nil"/>
                <w:left w:val="nil"/>
                <w:bottom w:val="nil"/>
                <w:right w:val="nil"/>
                <w:between w:val="nil"/>
              </w:pBdr>
              <w:spacing w:line="267" w:lineRule="auto"/>
              <w:ind w:left="132"/>
              <w:rPr>
                <w:color w:val="000000"/>
              </w:rPr>
            </w:pPr>
            <w:r>
              <w:rPr>
                <w:color w:val="000000"/>
              </w:rPr>
              <w:t>SACP</w:t>
            </w:r>
          </w:p>
        </w:tc>
        <w:tc>
          <w:tcPr>
            <w:tcW w:w="7168" w:type="dxa"/>
          </w:tcPr>
          <w:p w14:paraId="07A00914" w14:textId="77777777" w:rsidR="0064030C" w:rsidRDefault="0064030C" w:rsidP="0064030C">
            <w:pPr>
              <w:pBdr>
                <w:top w:val="nil"/>
                <w:left w:val="nil"/>
                <w:bottom w:val="nil"/>
                <w:right w:val="nil"/>
                <w:between w:val="nil"/>
              </w:pBdr>
              <w:spacing w:line="267" w:lineRule="auto"/>
              <w:ind w:left="137"/>
              <w:rPr>
                <w:color w:val="000000"/>
              </w:rPr>
            </w:pPr>
            <w:r>
              <w:rPr>
                <w:color w:val="000000"/>
              </w:rPr>
              <w:t>State Anti-Corruption Program</w:t>
            </w:r>
          </w:p>
        </w:tc>
      </w:tr>
    </w:tbl>
    <w:p w14:paraId="1D1F5683" w14:textId="77777777" w:rsidR="00CD759C" w:rsidRDefault="00CD759C">
      <w:pPr>
        <w:sectPr w:rsidR="00CD759C" w:rsidSect="00744A93">
          <w:pgSz w:w="11910" w:h="16840"/>
          <w:pgMar w:top="1134" w:right="1134" w:bottom="1134" w:left="1134" w:header="0" w:footer="998" w:gutter="0"/>
          <w:cols w:space="720"/>
        </w:sectPr>
      </w:pPr>
    </w:p>
    <w:p w14:paraId="56469144" w14:textId="77777777" w:rsidR="00CD759C" w:rsidRDefault="00CD759C">
      <w:pPr>
        <w:pBdr>
          <w:top w:val="nil"/>
          <w:left w:val="nil"/>
          <w:bottom w:val="nil"/>
          <w:right w:val="nil"/>
          <w:between w:val="nil"/>
        </w:pBdr>
        <w:tabs>
          <w:tab w:val="left" w:pos="837"/>
        </w:tabs>
        <w:spacing w:before="75"/>
        <w:ind w:left="630"/>
        <w:rPr>
          <w:b/>
          <w:color w:val="000000"/>
        </w:rPr>
      </w:pPr>
    </w:p>
    <w:p w14:paraId="6C3FC7F3" w14:textId="77777777" w:rsidR="00CD759C" w:rsidRDefault="00395D1F">
      <w:pPr>
        <w:numPr>
          <w:ilvl w:val="0"/>
          <w:numId w:val="2"/>
        </w:numPr>
        <w:pBdr>
          <w:top w:val="nil"/>
          <w:left w:val="nil"/>
          <w:bottom w:val="nil"/>
          <w:right w:val="nil"/>
          <w:between w:val="nil"/>
        </w:pBdr>
        <w:tabs>
          <w:tab w:val="left" w:pos="837"/>
        </w:tabs>
        <w:spacing w:before="75"/>
        <w:ind w:hanging="361"/>
        <w:rPr>
          <w:b/>
          <w:color w:val="000000"/>
          <w:sz w:val="24"/>
          <w:szCs w:val="24"/>
        </w:rPr>
      </w:pPr>
      <w:r>
        <w:rPr>
          <w:b/>
          <w:color w:val="000000"/>
          <w:sz w:val="24"/>
          <w:szCs w:val="24"/>
        </w:rPr>
        <w:t>Background and context</w:t>
      </w:r>
    </w:p>
    <w:p w14:paraId="65E6A4D8" w14:textId="77777777" w:rsidR="001F62DF" w:rsidRPr="001F62DF" w:rsidRDefault="001F62DF" w:rsidP="001F62DF">
      <w:pPr>
        <w:pBdr>
          <w:top w:val="nil"/>
          <w:left w:val="nil"/>
          <w:bottom w:val="nil"/>
          <w:right w:val="nil"/>
          <w:between w:val="nil"/>
        </w:pBdr>
        <w:spacing w:before="120" w:after="120"/>
        <w:ind w:right="389"/>
        <w:jc w:val="both"/>
        <w:rPr>
          <w:color w:val="000000"/>
        </w:rPr>
      </w:pPr>
      <w:r w:rsidRPr="001F62DF">
        <w:rPr>
          <w:color w:val="000000"/>
        </w:rPr>
        <w:t>The EU emphasises the fight against corruption as an important part of its accession process, highlighting the need for a culture of integrity and robust AC measures. In November 2023, the EU recognized Ukraine's progress, recommending opening accession negotiati</w:t>
      </w:r>
      <w:r>
        <w:rPr>
          <w:color w:val="000000"/>
        </w:rPr>
        <w:t>ons in its 2023 progress report</w:t>
      </w:r>
      <w:r w:rsidRPr="001F62DF">
        <w:rPr>
          <w:color w:val="000000"/>
        </w:rPr>
        <w:t>. This marked a significant step in EU-Ukraine relations, with accession negotiations beginning the following months.</w:t>
      </w:r>
    </w:p>
    <w:p w14:paraId="5C4EDE24" w14:textId="77777777" w:rsidR="00CD759C" w:rsidRDefault="001F62DF" w:rsidP="001F62DF">
      <w:pPr>
        <w:pBdr>
          <w:top w:val="nil"/>
          <w:left w:val="nil"/>
          <w:bottom w:val="nil"/>
          <w:right w:val="nil"/>
          <w:between w:val="nil"/>
        </w:pBdr>
        <w:spacing w:before="120" w:after="120"/>
        <w:ind w:right="389"/>
        <w:jc w:val="both"/>
        <w:rPr>
          <w:color w:val="000000"/>
        </w:rPr>
      </w:pPr>
      <w:r w:rsidRPr="001F62DF">
        <w:rPr>
          <w:color w:val="000000"/>
        </w:rPr>
        <w:t>The requirements to progress within the AC field are included in the accession negotiations, mainly chapter 23 and 24, the annual Progress Report and several other framework documents for Ukraine’s wartime and reconstruction support, such as the EU Facility Plan and the IMF Country Report under the IMF Extended Fund Facility.</w:t>
      </w:r>
      <w:r w:rsidR="00395D1F">
        <w:rPr>
          <w:color w:val="000000"/>
        </w:rPr>
        <w:t xml:space="preserve"> </w:t>
      </w:r>
    </w:p>
    <w:p w14:paraId="58ACE597" w14:textId="77777777" w:rsidR="00CD759C" w:rsidRDefault="00395D1F">
      <w:pPr>
        <w:pBdr>
          <w:top w:val="nil"/>
          <w:left w:val="nil"/>
          <w:bottom w:val="nil"/>
          <w:right w:val="nil"/>
          <w:between w:val="nil"/>
        </w:pBdr>
        <w:spacing w:before="120" w:after="120"/>
        <w:ind w:right="389"/>
        <w:jc w:val="both"/>
        <w:rPr>
          <w:color w:val="000000"/>
        </w:rPr>
      </w:pPr>
      <w:r>
        <w:rPr>
          <w:color w:val="000000"/>
        </w:rPr>
        <w:t>Based on the significant results of the joint Danish and EU Anti-Corruption Initiative (EUACI) Phase II 2020-2024, Denmark and the EU engaged in a third phase of the programme aimed at supporting Ukraine in its efforts to reduce corruption at the national and local level through the empowerment of citizens, civil society and state institutions. The EUACI Phase III strategic objectives are that: corruption in Ukraine is reduced; Ukraine advances with anti-corruption reform; and th</w:t>
      </w:r>
      <w:r>
        <w:t xml:space="preserve">e </w:t>
      </w:r>
      <w:r>
        <w:rPr>
          <w:color w:val="000000"/>
        </w:rPr>
        <w:t>reconstruction in war-affected areas of Ukraine is implemented within a framework that incorporates transparency, accountability and integrity.</w:t>
      </w:r>
    </w:p>
    <w:p w14:paraId="7BF0BBE0" w14:textId="77777777" w:rsidR="00CD759C" w:rsidRDefault="004F3899">
      <w:pPr>
        <w:pBdr>
          <w:top w:val="nil"/>
          <w:left w:val="nil"/>
          <w:bottom w:val="nil"/>
          <w:right w:val="nil"/>
          <w:between w:val="nil"/>
        </w:pBdr>
        <w:spacing w:before="120" w:after="120"/>
        <w:ind w:right="389"/>
        <w:jc w:val="both"/>
        <w:rPr>
          <w:color w:val="000000"/>
        </w:rPr>
      </w:pPr>
      <w:r>
        <w:rPr>
          <w:color w:val="000000"/>
        </w:rPr>
        <w:t xml:space="preserve">Along with the key EUACI beneficiary institutions (e.g. </w:t>
      </w:r>
      <w:r w:rsidR="00395D1F">
        <w:rPr>
          <w:color w:val="000000"/>
        </w:rPr>
        <w:t>HACC</w:t>
      </w:r>
      <w:r>
        <w:rPr>
          <w:color w:val="000000"/>
        </w:rPr>
        <w:t xml:space="preserve">, </w:t>
      </w:r>
      <w:r w:rsidR="00395D1F">
        <w:rPr>
          <w:color w:val="000000"/>
        </w:rPr>
        <w:t>NABU</w:t>
      </w:r>
      <w:r>
        <w:rPr>
          <w:color w:val="000000"/>
        </w:rPr>
        <w:t xml:space="preserve">, </w:t>
      </w:r>
      <w:r w:rsidR="00395D1F">
        <w:rPr>
          <w:color w:val="000000"/>
        </w:rPr>
        <w:t>SAPO</w:t>
      </w:r>
      <w:r>
        <w:rPr>
          <w:color w:val="000000"/>
        </w:rPr>
        <w:t>)</w:t>
      </w:r>
      <w:r w:rsidR="00395D1F">
        <w:rPr>
          <w:color w:val="000000"/>
        </w:rPr>
        <w:t xml:space="preserve">, </w:t>
      </w:r>
      <w:r w:rsidR="00913F29">
        <w:rPr>
          <w:color w:val="000000"/>
        </w:rPr>
        <w:t xml:space="preserve">the EUACI also supports the efforts of several institutions that are responsible for setting up legal and institutional framework for the anti-corruption </w:t>
      </w:r>
      <w:r w:rsidR="00120352">
        <w:rPr>
          <w:color w:val="000000"/>
        </w:rPr>
        <w:t xml:space="preserve">sphere, especially in the context of the European integration of Ukraine. These are the </w:t>
      </w:r>
      <w:r w:rsidR="00120352" w:rsidRPr="00120352">
        <w:rPr>
          <w:color w:val="000000"/>
        </w:rPr>
        <w:t>Office of Deputy Prime Minister for European and Euro-Atlantic Integration of Ukraine</w:t>
      </w:r>
      <w:r w:rsidR="00120352">
        <w:rPr>
          <w:color w:val="000000"/>
        </w:rPr>
        <w:t xml:space="preserve"> (DPM), the </w:t>
      </w:r>
      <w:r w:rsidR="00120352" w:rsidRPr="00120352">
        <w:rPr>
          <w:color w:val="000000"/>
        </w:rPr>
        <w:t>Government Office for Coordination of European and Euro-Atlantic Integration</w:t>
      </w:r>
      <w:r w:rsidR="00120352">
        <w:rPr>
          <w:color w:val="000000"/>
        </w:rPr>
        <w:t xml:space="preserve"> (GOCEEI), t</w:t>
      </w:r>
      <w:r w:rsidR="00395D1F">
        <w:rPr>
          <w:color w:val="000000"/>
        </w:rPr>
        <w:t xml:space="preserve">he Committee on Anti-Corruption Policy of the Verkhovna Rada of Ukraine (CAP), </w:t>
      </w:r>
      <w:r w:rsidR="00120352">
        <w:rPr>
          <w:color w:val="000000"/>
        </w:rPr>
        <w:t>and the Ministry of Justice.</w:t>
      </w:r>
    </w:p>
    <w:p w14:paraId="5D648166" w14:textId="77777777" w:rsidR="00CD759C" w:rsidRDefault="00CD759C">
      <w:pPr>
        <w:widowControl/>
        <w:spacing w:before="120"/>
        <w:jc w:val="both"/>
      </w:pPr>
    </w:p>
    <w:p w14:paraId="73C51E29" w14:textId="77777777" w:rsidR="00CD759C" w:rsidRDefault="00395D1F">
      <w:pPr>
        <w:numPr>
          <w:ilvl w:val="0"/>
          <w:numId w:val="2"/>
        </w:numPr>
        <w:pBdr>
          <w:top w:val="nil"/>
          <w:left w:val="nil"/>
          <w:bottom w:val="nil"/>
          <w:right w:val="nil"/>
          <w:between w:val="nil"/>
        </w:pBdr>
        <w:tabs>
          <w:tab w:val="left" w:pos="837"/>
        </w:tabs>
        <w:spacing w:before="75"/>
        <w:ind w:hanging="361"/>
        <w:rPr>
          <w:b/>
          <w:color w:val="000000"/>
          <w:sz w:val="24"/>
          <w:szCs w:val="24"/>
        </w:rPr>
      </w:pPr>
      <w:r>
        <w:rPr>
          <w:b/>
          <w:color w:val="000000"/>
          <w:sz w:val="24"/>
          <w:szCs w:val="24"/>
        </w:rPr>
        <w:t>Contracting authority</w:t>
      </w:r>
    </w:p>
    <w:p w14:paraId="6C23119D" w14:textId="77777777" w:rsidR="00CD759C" w:rsidRDefault="00395D1F">
      <w:pPr>
        <w:pBdr>
          <w:top w:val="nil"/>
          <w:left w:val="nil"/>
          <w:bottom w:val="nil"/>
          <w:right w:val="nil"/>
          <w:between w:val="nil"/>
        </w:pBdr>
        <w:spacing w:before="120"/>
        <w:ind w:right="692"/>
        <w:rPr>
          <w:color w:val="000000"/>
        </w:rPr>
      </w:pPr>
      <w:r>
        <w:rPr>
          <w:color w:val="000000"/>
        </w:rPr>
        <w:t xml:space="preserve">The Contracting Authority is the Ministry of Foreign Affairs of Denmark, </w:t>
      </w:r>
      <w:r w:rsidR="00BC4EDE">
        <w:rPr>
          <w:color w:val="000000"/>
        </w:rPr>
        <w:t>the EUACI</w:t>
      </w:r>
      <w:r>
        <w:rPr>
          <w:color w:val="000000"/>
        </w:rPr>
        <w:t>.</w:t>
      </w:r>
    </w:p>
    <w:p w14:paraId="1867A4A8" w14:textId="77777777" w:rsidR="00CD759C" w:rsidRDefault="00CD759C">
      <w:pPr>
        <w:pBdr>
          <w:top w:val="nil"/>
          <w:left w:val="nil"/>
          <w:bottom w:val="nil"/>
          <w:right w:val="nil"/>
          <w:between w:val="nil"/>
        </w:pBdr>
        <w:spacing w:before="120"/>
        <w:ind w:left="116" w:right="692"/>
        <w:rPr>
          <w:color w:val="000000"/>
        </w:rPr>
      </w:pPr>
    </w:p>
    <w:p w14:paraId="5B2474CE" w14:textId="77777777" w:rsidR="00CD759C" w:rsidRDefault="00395D1F">
      <w:pPr>
        <w:numPr>
          <w:ilvl w:val="0"/>
          <w:numId w:val="2"/>
        </w:numPr>
        <w:pBdr>
          <w:top w:val="nil"/>
          <w:left w:val="nil"/>
          <w:bottom w:val="nil"/>
          <w:right w:val="nil"/>
          <w:between w:val="nil"/>
        </w:pBdr>
        <w:tabs>
          <w:tab w:val="left" w:pos="837"/>
        </w:tabs>
        <w:spacing w:before="75"/>
        <w:ind w:hanging="361"/>
        <w:rPr>
          <w:b/>
          <w:color w:val="000000"/>
          <w:sz w:val="24"/>
          <w:szCs w:val="24"/>
        </w:rPr>
      </w:pPr>
      <w:r>
        <w:rPr>
          <w:b/>
          <w:color w:val="000000"/>
          <w:sz w:val="24"/>
          <w:szCs w:val="24"/>
        </w:rPr>
        <w:t>Objective</w:t>
      </w:r>
    </w:p>
    <w:p w14:paraId="20A1F062" w14:textId="77777777" w:rsidR="00CD759C" w:rsidRDefault="00395D1F" w:rsidP="005A346B">
      <w:pPr>
        <w:pBdr>
          <w:top w:val="nil"/>
          <w:left w:val="nil"/>
          <w:bottom w:val="nil"/>
          <w:right w:val="nil"/>
          <w:between w:val="nil"/>
        </w:pBdr>
        <w:rPr>
          <w:color w:val="000000"/>
        </w:rPr>
      </w:pPr>
      <w:bookmarkStart w:id="1" w:name="_heading=h.30j0zll" w:colFirst="0" w:colLast="0"/>
      <w:bookmarkEnd w:id="1"/>
      <w:r>
        <w:rPr>
          <w:color w:val="000000"/>
        </w:rPr>
        <w:t>The objective of this assignment is to provide</w:t>
      </w:r>
      <w:r w:rsidR="005A346B">
        <w:rPr>
          <w:color w:val="000000"/>
        </w:rPr>
        <w:t xml:space="preserve"> </w:t>
      </w:r>
      <w:r w:rsidR="00CA09DA">
        <w:rPr>
          <w:color w:val="000000"/>
        </w:rPr>
        <w:t>advisory (</w:t>
      </w:r>
      <w:r w:rsidR="00141C75">
        <w:rPr>
          <w:color w:val="000000" w:themeColor="text1"/>
        </w:rPr>
        <w:t xml:space="preserve">policy, coordination, and </w:t>
      </w:r>
      <w:r w:rsidR="00F776BB" w:rsidRPr="00F776BB">
        <w:rPr>
          <w:color w:val="000000" w:themeColor="text1"/>
        </w:rPr>
        <w:t>other</w:t>
      </w:r>
      <w:r w:rsidR="00CA09DA">
        <w:rPr>
          <w:color w:val="000000" w:themeColor="text1"/>
        </w:rPr>
        <w:t>)</w:t>
      </w:r>
      <w:r w:rsidR="00F776BB" w:rsidRPr="00F776BB">
        <w:rPr>
          <w:color w:val="000000" w:themeColor="text1"/>
        </w:rPr>
        <w:t xml:space="preserve"> services</w:t>
      </w:r>
      <w:r w:rsidR="00F776BB">
        <w:rPr>
          <w:color w:val="000000"/>
        </w:rPr>
        <w:t xml:space="preserve"> </w:t>
      </w:r>
      <w:r w:rsidR="00373C26" w:rsidRPr="00373C26">
        <w:rPr>
          <w:color w:val="000000"/>
        </w:rPr>
        <w:t>to the</w:t>
      </w:r>
      <w:r w:rsidR="00373C26">
        <w:rPr>
          <w:color w:val="000000"/>
        </w:rPr>
        <w:t xml:space="preserve"> </w:t>
      </w:r>
      <w:r w:rsidR="00373C26" w:rsidRPr="00373C26">
        <w:rPr>
          <w:color w:val="000000"/>
        </w:rPr>
        <w:t>beneficiary institutions involved in the efforts of Uk</w:t>
      </w:r>
      <w:r w:rsidR="006930D7">
        <w:rPr>
          <w:color w:val="000000"/>
        </w:rPr>
        <w:t>raine’s EU integration process</w:t>
      </w:r>
      <w:r w:rsidR="00373C26">
        <w:rPr>
          <w:color w:val="000000"/>
        </w:rPr>
        <w:t>, namely the DPM and GOCEEI</w:t>
      </w:r>
      <w:r w:rsidR="00373C26" w:rsidRPr="00373C26">
        <w:rPr>
          <w:color w:val="000000"/>
        </w:rPr>
        <w:t xml:space="preserve">. </w:t>
      </w:r>
      <w:r>
        <w:rPr>
          <w:color w:val="000000"/>
        </w:rPr>
        <w:t xml:space="preserve">This will be achieved through concluding </w:t>
      </w:r>
      <w:r w:rsidR="00373C26">
        <w:rPr>
          <w:color w:val="000000"/>
        </w:rPr>
        <w:t xml:space="preserve">a </w:t>
      </w:r>
      <w:r>
        <w:rPr>
          <w:color w:val="000000"/>
        </w:rPr>
        <w:t>long-term</w:t>
      </w:r>
      <w:r w:rsidR="00373C26">
        <w:rPr>
          <w:color w:val="000000"/>
        </w:rPr>
        <w:t xml:space="preserve"> contract</w:t>
      </w:r>
      <w:r>
        <w:rPr>
          <w:color w:val="000000"/>
        </w:rPr>
        <w:t xml:space="preserve"> with </w:t>
      </w:r>
      <w:r w:rsidR="00373C26">
        <w:rPr>
          <w:color w:val="000000"/>
        </w:rPr>
        <w:t>an expert</w:t>
      </w:r>
      <w:r w:rsidR="00F776BB">
        <w:rPr>
          <w:color w:val="000000"/>
        </w:rPr>
        <w:t>.</w:t>
      </w:r>
    </w:p>
    <w:p w14:paraId="7F8FA881" w14:textId="77777777" w:rsidR="00CD759C" w:rsidRDefault="00CD75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bookmarkStart w:id="2" w:name="_heading=h.1fob9te" w:colFirst="0" w:colLast="0"/>
      <w:bookmarkEnd w:id="2"/>
    </w:p>
    <w:p w14:paraId="454052F3" w14:textId="77777777" w:rsidR="00CD759C" w:rsidRDefault="00CD75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4FBB184E" w14:textId="77777777" w:rsidR="00CD759C" w:rsidRDefault="00395D1F">
      <w:pPr>
        <w:numPr>
          <w:ilvl w:val="0"/>
          <w:numId w:val="2"/>
        </w:numPr>
        <w:pBdr>
          <w:top w:val="nil"/>
          <w:left w:val="nil"/>
          <w:bottom w:val="nil"/>
          <w:right w:val="nil"/>
          <w:between w:val="nil"/>
        </w:pBdr>
        <w:tabs>
          <w:tab w:val="left" w:pos="837"/>
        </w:tabs>
        <w:spacing w:before="75"/>
        <w:rPr>
          <w:b/>
          <w:color w:val="000000"/>
          <w:sz w:val="24"/>
          <w:szCs w:val="24"/>
        </w:rPr>
      </w:pPr>
      <w:r>
        <w:rPr>
          <w:b/>
          <w:color w:val="000000"/>
          <w:sz w:val="24"/>
          <w:szCs w:val="24"/>
        </w:rPr>
        <w:t xml:space="preserve">Scope of Work and Indicative Outputs and </w:t>
      </w:r>
      <w:sdt>
        <w:sdtPr>
          <w:tag w:val="goog_rdk_4"/>
          <w:id w:val="-1229530143"/>
        </w:sdtPr>
        <w:sdtContent/>
      </w:sdt>
      <w:r>
        <w:rPr>
          <w:b/>
          <w:color w:val="000000"/>
          <w:sz w:val="24"/>
          <w:szCs w:val="24"/>
        </w:rPr>
        <w:t xml:space="preserve">Deliverables  </w:t>
      </w:r>
    </w:p>
    <w:p w14:paraId="57A054FB" w14:textId="77777777" w:rsidR="00CD759C" w:rsidRDefault="00CD75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3CE9098F" w14:textId="77777777" w:rsidR="00CD759C" w:rsidRPr="00F776BB" w:rsidRDefault="00F776BB" w:rsidP="00F776BB">
      <w:pPr>
        <w:spacing w:line="276" w:lineRule="auto"/>
        <w:rPr>
          <w:color w:val="000000" w:themeColor="text1"/>
        </w:rPr>
      </w:pPr>
      <w:r>
        <w:rPr>
          <w:color w:val="000000" w:themeColor="text1"/>
        </w:rPr>
        <w:t>Commissioned expert</w:t>
      </w:r>
      <w:r w:rsidR="00395D1F" w:rsidRPr="00F776BB">
        <w:rPr>
          <w:color w:val="000000" w:themeColor="text1"/>
        </w:rPr>
        <w:t xml:space="preserve"> </w:t>
      </w:r>
      <w:r>
        <w:rPr>
          <w:color w:val="000000" w:themeColor="text1"/>
        </w:rPr>
        <w:t xml:space="preserve">is </w:t>
      </w:r>
      <w:r w:rsidR="00395D1F" w:rsidRPr="00F776BB">
        <w:rPr>
          <w:color w:val="000000" w:themeColor="text1"/>
        </w:rPr>
        <w:t xml:space="preserve">expected to provide </w:t>
      </w:r>
      <w:r w:rsidR="004F0AA3">
        <w:rPr>
          <w:color w:val="000000" w:themeColor="text1"/>
        </w:rPr>
        <w:t>advisory (</w:t>
      </w:r>
      <w:r w:rsidR="00141C75" w:rsidRPr="00141C75">
        <w:rPr>
          <w:color w:val="000000" w:themeColor="text1"/>
        </w:rPr>
        <w:t>policy, coordination, and other</w:t>
      </w:r>
      <w:r w:rsidR="004F0AA3">
        <w:rPr>
          <w:color w:val="000000" w:themeColor="text1"/>
        </w:rPr>
        <w:t>)</w:t>
      </w:r>
      <w:r w:rsidR="00141C75" w:rsidRPr="00141C75">
        <w:rPr>
          <w:color w:val="000000" w:themeColor="text1"/>
        </w:rPr>
        <w:t xml:space="preserve"> services</w:t>
      </w:r>
      <w:r w:rsidR="00395D1F" w:rsidRPr="00F776BB">
        <w:rPr>
          <w:color w:val="000000" w:themeColor="text1"/>
        </w:rPr>
        <w:t xml:space="preserve">, namely: </w:t>
      </w:r>
    </w:p>
    <w:p w14:paraId="53208DC3" w14:textId="77777777" w:rsidR="00F776BB" w:rsidRDefault="00F776BB" w:rsidP="00F776BB">
      <w:pPr>
        <w:spacing w:line="301" w:lineRule="auto"/>
      </w:pPr>
    </w:p>
    <w:p w14:paraId="22EB5160" w14:textId="77777777" w:rsidR="00F776BB" w:rsidRDefault="00F776BB" w:rsidP="00F776BB">
      <w:pPr>
        <w:pStyle w:val="ListParagraph"/>
        <w:numPr>
          <w:ilvl w:val="0"/>
          <w:numId w:val="5"/>
        </w:numPr>
        <w:spacing w:line="301" w:lineRule="auto"/>
      </w:pPr>
      <w:r>
        <w:t>Providing advice and conducting peer review of policy and legal documents in the a</w:t>
      </w:r>
      <w:r w:rsidR="008F33DE">
        <w:t>reas of anti-corruption policies</w:t>
      </w:r>
      <w:r>
        <w:t>, with a particular focus on fulfilment of Ukraine's obligations in the process of EU accession and on alignment of national legislation with EU acquis;</w:t>
      </w:r>
    </w:p>
    <w:p w14:paraId="389D9A0E" w14:textId="77777777" w:rsidR="00F776BB" w:rsidRDefault="008F34BA" w:rsidP="00F776BB">
      <w:pPr>
        <w:pStyle w:val="ListParagraph"/>
        <w:numPr>
          <w:ilvl w:val="0"/>
          <w:numId w:val="5"/>
        </w:numPr>
        <w:spacing w:line="301" w:lineRule="auto"/>
      </w:pPr>
      <w:r>
        <w:lastRenderedPageBreak/>
        <w:t>A</w:t>
      </w:r>
      <w:r w:rsidR="00F776BB">
        <w:t xml:space="preserve">ssistance in the development of relevant policy briefs, papers, notes, </w:t>
      </w:r>
      <w:r>
        <w:t>and other documents</w:t>
      </w:r>
      <w:r w:rsidR="00F776BB">
        <w:t>;</w:t>
      </w:r>
    </w:p>
    <w:p w14:paraId="112BDE2F" w14:textId="77777777" w:rsidR="00F776BB" w:rsidRDefault="00F776BB" w:rsidP="00F776BB">
      <w:pPr>
        <w:pStyle w:val="ListParagraph"/>
        <w:numPr>
          <w:ilvl w:val="0"/>
          <w:numId w:val="5"/>
        </w:numPr>
        <w:spacing w:line="301" w:lineRule="auto"/>
      </w:pPr>
      <w:r>
        <w:t xml:space="preserve">Coordination of other experts working on the relevant thematic aspect, if requested by </w:t>
      </w:r>
      <w:r w:rsidR="00AA6278">
        <w:t>the DPM and GOCEEI</w:t>
      </w:r>
      <w:r>
        <w:t>;</w:t>
      </w:r>
    </w:p>
    <w:p w14:paraId="5AF77568" w14:textId="77777777" w:rsidR="00AA6278" w:rsidRDefault="00AA6278" w:rsidP="00F776BB">
      <w:pPr>
        <w:pStyle w:val="ListParagraph"/>
        <w:numPr>
          <w:ilvl w:val="0"/>
          <w:numId w:val="5"/>
        </w:numPr>
        <w:spacing w:line="301" w:lineRule="auto"/>
      </w:pPr>
      <w:r>
        <w:t>Coordination of the DPM and GOCEEI with the EUACI;</w:t>
      </w:r>
    </w:p>
    <w:p w14:paraId="626009CB" w14:textId="77777777" w:rsidR="00F776BB" w:rsidRDefault="00F776BB" w:rsidP="00F776BB">
      <w:pPr>
        <w:pStyle w:val="ListParagraph"/>
        <w:numPr>
          <w:ilvl w:val="0"/>
          <w:numId w:val="5"/>
        </w:numPr>
        <w:spacing w:line="301" w:lineRule="auto"/>
      </w:pPr>
      <w:r>
        <w:t>Other services related to the sphere of anti-corruption and the EU enlargement processes (accession to the EU) as agreed with EUACI.</w:t>
      </w:r>
    </w:p>
    <w:p w14:paraId="1964A9FC" w14:textId="77777777" w:rsidR="00F776BB" w:rsidRDefault="00F776BB" w:rsidP="00F776BB">
      <w:pPr>
        <w:spacing w:line="301" w:lineRule="auto"/>
      </w:pPr>
    </w:p>
    <w:p w14:paraId="45D9D7FA" w14:textId="77777777" w:rsidR="00CD759C" w:rsidRDefault="00395D1F">
      <w:pPr>
        <w:pBdr>
          <w:top w:val="nil"/>
          <w:left w:val="nil"/>
          <w:bottom w:val="nil"/>
          <w:right w:val="nil"/>
          <w:between w:val="nil"/>
        </w:pBdr>
        <w:spacing w:before="120"/>
        <w:ind w:right="156"/>
        <w:jc w:val="both"/>
        <w:rPr>
          <w:color w:val="000000"/>
        </w:rPr>
      </w:pPr>
      <w:bookmarkStart w:id="3" w:name="_heading=h.tyjcwt" w:colFirst="0" w:colLast="0"/>
      <w:bookmarkEnd w:id="3"/>
      <w:r>
        <w:rPr>
          <w:color w:val="000000"/>
        </w:rPr>
        <w:t xml:space="preserve">The following </w:t>
      </w:r>
      <w:r>
        <w:t>list</w:t>
      </w:r>
      <w:r>
        <w:rPr>
          <w:color w:val="000000"/>
        </w:rPr>
        <w:t xml:space="preserve"> of outputs and deliverables is indicative and non-exhaustive. The EUACI reserves the right to request deliverables not explicitly mentioned in the list but related to the field of expertise object of the contract to be concluded.</w:t>
      </w:r>
    </w:p>
    <w:p w14:paraId="513F6AD6" w14:textId="77777777" w:rsidR="00CD759C" w:rsidRDefault="00CD75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08F2657E" w14:textId="77777777" w:rsidR="00E03B5D" w:rsidRDefault="00395D1F" w:rsidP="00A17394">
      <w:pPr>
        <w:widowControl/>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E03B5D">
        <w:rPr>
          <w:color w:val="000000"/>
        </w:rPr>
        <w:t xml:space="preserve">Conducting analytics and drafting analytical reports, </w:t>
      </w:r>
    </w:p>
    <w:p w14:paraId="562C4CC4" w14:textId="77777777" w:rsidR="00CD759C" w:rsidRPr="00E03B5D" w:rsidRDefault="00395D1F" w:rsidP="00A17394">
      <w:pPr>
        <w:widowControl/>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E03B5D">
        <w:rPr>
          <w:color w:val="000000"/>
        </w:rPr>
        <w:t xml:space="preserve">Preparation of assessment reports and technical </w:t>
      </w:r>
      <w:r>
        <w:t>specifications</w:t>
      </w:r>
      <w:r w:rsidRPr="00E03B5D">
        <w:rPr>
          <w:color w:val="000000"/>
        </w:rPr>
        <w:t xml:space="preserve"> or other documents as required;</w:t>
      </w:r>
    </w:p>
    <w:p w14:paraId="7C89EBAB" w14:textId="77777777" w:rsidR="00CD759C" w:rsidRDefault="00395D1F">
      <w:pPr>
        <w:widowControl/>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 xml:space="preserve">Drafting </w:t>
      </w:r>
      <w:r w:rsidR="00E03B5D">
        <w:t xml:space="preserve">policy briefs, </w:t>
      </w:r>
      <w:r>
        <w:t xml:space="preserve">opinions, notes, memos or other analytical documents on outstanding matters within the mentioned sphere; </w:t>
      </w:r>
    </w:p>
    <w:p w14:paraId="5222F19C" w14:textId="77777777" w:rsidR="00CD759C" w:rsidRPr="0089329D" w:rsidRDefault="00395D1F" w:rsidP="0089329D">
      <w:pPr>
        <w:widowControl/>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Developing and delivering presentations to the EUACI and the beneficiary institutions</w:t>
      </w:r>
      <w:r w:rsidR="0089329D">
        <w:rPr>
          <w:color w:val="000000"/>
        </w:rPr>
        <w:t>.</w:t>
      </w:r>
    </w:p>
    <w:p w14:paraId="219BDC7E" w14:textId="77777777" w:rsidR="00CD759C" w:rsidRDefault="00CD75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73669A0C" w14:textId="77777777" w:rsidR="00CD759C" w:rsidRPr="008A6BD0" w:rsidRDefault="00395D1F" w:rsidP="008A6BD0">
      <w:pPr>
        <w:pBdr>
          <w:top w:val="nil"/>
          <w:left w:val="nil"/>
          <w:bottom w:val="nil"/>
          <w:right w:val="nil"/>
          <w:between w:val="nil"/>
        </w:pBdr>
        <w:spacing w:before="120"/>
        <w:ind w:right="115"/>
        <w:jc w:val="both"/>
        <w:rPr>
          <w:color w:val="000000"/>
        </w:rPr>
      </w:pPr>
      <w:r>
        <w:rPr>
          <w:color w:val="000000"/>
        </w:rPr>
        <w:t xml:space="preserve">During the assignment, the consultant shall work </w:t>
      </w:r>
      <w:r>
        <w:t>closely</w:t>
      </w:r>
      <w:r>
        <w:rPr>
          <w:color w:val="000000"/>
        </w:rPr>
        <w:t xml:space="preserve"> with the appropriate EUACI, </w:t>
      </w:r>
      <w:r w:rsidR="00AC51F6">
        <w:rPr>
          <w:color w:val="000000"/>
        </w:rPr>
        <w:t>DPM, and GOCEEI</w:t>
      </w:r>
      <w:r>
        <w:rPr>
          <w:color w:val="000000"/>
        </w:rPr>
        <w:t xml:space="preserve"> leadership and staff. </w:t>
      </w:r>
      <w:r>
        <w:t xml:space="preserve">Language </w:t>
      </w:r>
      <w:r w:rsidR="008A6BD0">
        <w:t>to be used</w:t>
      </w:r>
      <w:r>
        <w:t xml:space="preserve">: English </w:t>
      </w:r>
      <w:r w:rsidR="008A6BD0">
        <w:t>and Ukrainian.</w:t>
      </w:r>
    </w:p>
    <w:p w14:paraId="4230BB1D" w14:textId="77777777" w:rsidR="00CD759C" w:rsidRDefault="00CD759C">
      <w:pPr>
        <w:pBdr>
          <w:top w:val="nil"/>
          <w:left w:val="nil"/>
          <w:bottom w:val="nil"/>
          <w:right w:val="nil"/>
          <w:between w:val="nil"/>
        </w:pBdr>
        <w:spacing w:before="120"/>
        <w:ind w:right="156"/>
        <w:jc w:val="both"/>
        <w:rPr>
          <w:color w:val="000000"/>
        </w:rPr>
      </w:pPr>
      <w:bookmarkStart w:id="4" w:name="_heading=h.3znysh7" w:colFirst="0" w:colLast="0"/>
      <w:bookmarkEnd w:id="4"/>
    </w:p>
    <w:p w14:paraId="62873202" w14:textId="77777777" w:rsidR="00CD759C" w:rsidRDefault="00395D1F">
      <w:pPr>
        <w:numPr>
          <w:ilvl w:val="0"/>
          <w:numId w:val="2"/>
        </w:numPr>
        <w:pBdr>
          <w:top w:val="nil"/>
          <w:left w:val="nil"/>
          <w:bottom w:val="nil"/>
          <w:right w:val="nil"/>
          <w:between w:val="nil"/>
        </w:pBdr>
        <w:tabs>
          <w:tab w:val="left" w:pos="837"/>
        </w:tabs>
        <w:spacing w:before="75"/>
        <w:rPr>
          <w:b/>
          <w:color w:val="000000"/>
          <w:sz w:val="24"/>
          <w:szCs w:val="24"/>
        </w:rPr>
      </w:pPr>
      <w:r>
        <w:rPr>
          <w:b/>
          <w:color w:val="000000"/>
          <w:sz w:val="24"/>
          <w:szCs w:val="24"/>
        </w:rPr>
        <w:t>Qualifications</w:t>
      </w:r>
      <w:sdt>
        <w:sdtPr>
          <w:tag w:val="goog_rdk_9"/>
          <w:id w:val="920917663"/>
        </w:sdtPr>
        <w:sdtContent/>
      </w:sdt>
      <w:r>
        <w:rPr>
          <w:b/>
          <w:color w:val="000000"/>
          <w:sz w:val="24"/>
          <w:szCs w:val="24"/>
        </w:rPr>
        <w:t xml:space="preserve"> Required </w:t>
      </w:r>
      <w:r w:rsidR="00D918EC">
        <w:rPr>
          <w:b/>
          <w:color w:val="000000"/>
          <w:sz w:val="24"/>
          <w:szCs w:val="24"/>
        </w:rPr>
        <w:t>and Assessment</w:t>
      </w:r>
    </w:p>
    <w:p w14:paraId="779654D5" w14:textId="77777777" w:rsidR="00CD759C" w:rsidRDefault="00CD759C">
      <w:pPr>
        <w:pBdr>
          <w:top w:val="nil"/>
          <w:left w:val="nil"/>
          <w:bottom w:val="nil"/>
          <w:right w:val="nil"/>
          <w:between w:val="nil"/>
        </w:pBdr>
        <w:spacing w:before="120"/>
        <w:ind w:right="324"/>
        <w:jc w:val="both"/>
        <w:rPr>
          <w:color w:val="000000"/>
        </w:rPr>
      </w:pPr>
    </w:p>
    <w:p w14:paraId="5D4174F9" w14:textId="77777777" w:rsidR="00CD759C" w:rsidRDefault="00395D1F">
      <w:pPr>
        <w:pBdr>
          <w:top w:val="nil"/>
          <w:left w:val="nil"/>
          <w:bottom w:val="nil"/>
          <w:right w:val="nil"/>
          <w:between w:val="nil"/>
        </w:pBdr>
        <w:spacing w:before="120"/>
        <w:ind w:right="324"/>
        <w:jc w:val="both"/>
        <w:rPr>
          <w:color w:val="000000"/>
        </w:rPr>
      </w:pPr>
      <w:r>
        <w:rPr>
          <w:color w:val="000000"/>
        </w:rPr>
        <w:t xml:space="preserve">Tenderers shall demonstrate that they fulfil the following criteria: </w:t>
      </w:r>
    </w:p>
    <w:p w14:paraId="33316F91" w14:textId="77777777" w:rsidR="00CD759C" w:rsidRDefault="00CD759C">
      <w:pPr>
        <w:pBdr>
          <w:top w:val="nil"/>
          <w:left w:val="nil"/>
          <w:bottom w:val="nil"/>
          <w:right w:val="nil"/>
          <w:between w:val="nil"/>
        </w:pBdr>
        <w:spacing w:before="120"/>
        <w:rPr>
          <w:color w:val="000000"/>
          <w:u w:val="single"/>
        </w:rPr>
      </w:pPr>
    </w:p>
    <w:p w14:paraId="0A91D1DD" w14:textId="77777777" w:rsidR="00CD759C" w:rsidRDefault="00395D1F">
      <w:pPr>
        <w:numPr>
          <w:ilvl w:val="0"/>
          <w:numId w:val="4"/>
        </w:numPr>
        <w:pBdr>
          <w:top w:val="nil"/>
          <w:left w:val="nil"/>
          <w:bottom w:val="nil"/>
          <w:right w:val="nil"/>
          <w:between w:val="nil"/>
        </w:pBdr>
        <w:ind w:left="714" w:hanging="357"/>
        <w:rPr>
          <w:color w:val="000000"/>
        </w:rPr>
      </w:pPr>
      <w:r>
        <w:rPr>
          <w:color w:val="000000"/>
        </w:rPr>
        <w:t xml:space="preserve">Relevant education </w:t>
      </w:r>
      <w:r w:rsidR="001F62DF">
        <w:rPr>
          <w:color w:val="000000"/>
        </w:rPr>
        <w:t xml:space="preserve">at a minimum level of </w:t>
      </w:r>
      <w:r>
        <w:rPr>
          <w:color w:val="000000"/>
        </w:rPr>
        <w:t>Masters’ Degree / Academic level in Law, Public Policy, International Relations, Political Sciences;</w:t>
      </w:r>
    </w:p>
    <w:p w14:paraId="172CCA01" w14:textId="77777777" w:rsidR="007A0C2E" w:rsidRDefault="001D1545">
      <w:pPr>
        <w:numPr>
          <w:ilvl w:val="0"/>
          <w:numId w:val="4"/>
        </w:numPr>
        <w:pBdr>
          <w:top w:val="nil"/>
          <w:left w:val="nil"/>
          <w:bottom w:val="nil"/>
          <w:right w:val="nil"/>
          <w:between w:val="nil"/>
        </w:pBdr>
        <w:ind w:left="714" w:hanging="357"/>
        <w:rPr>
          <w:color w:val="000000"/>
        </w:rPr>
      </w:pPr>
      <w:r>
        <w:rPr>
          <w:color w:val="000000"/>
        </w:rPr>
        <w:t>Minimum 5</w:t>
      </w:r>
      <w:r w:rsidR="00395D1F">
        <w:rPr>
          <w:color w:val="000000"/>
        </w:rPr>
        <w:t xml:space="preserve"> years of proven professional experience in either </w:t>
      </w:r>
      <w:r>
        <w:rPr>
          <w:color w:val="000000"/>
        </w:rPr>
        <w:t xml:space="preserve">anti-corruption, </w:t>
      </w:r>
      <w:r w:rsidR="007A0C2E">
        <w:rPr>
          <w:color w:val="000000"/>
        </w:rPr>
        <w:t xml:space="preserve">rule  of law, </w:t>
      </w:r>
      <w:r>
        <w:rPr>
          <w:color w:val="000000"/>
        </w:rPr>
        <w:t>public reform</w:t>
      </w:r>
      <w:r w:rsidR="00395D1F">
        <w:rPr>
          <w:color w:val="000000"/>
        </w:rPr>
        <w:t>, international relations / development sector</w:t>
      </w:r>
      <w:r w:rsidR="007A0C2E">
        <w:rPr>
          <w:color w:val="000000"/>
        </w:rPr>
        <w:t>;</w:t>
      </w:r>
    </w:p>
    <w:p w14:paraId="2C4E3D1D" w14:textId="77777777" w:rsidR="007A0C2E" w:rsidRDefault="007A0C2E">
      <w:pPr>
        <w:numPr>
          <w:ilvl w:val="0"/>
          <w:numId w:val="4"/>
        </w:numPr>
        <w:pBdr>
          <w:top w:val="nil"/>
          <w:left w:val="nil"/>
          <w:bottom w:val="nil"/>
          <w:right w:val="nil"/>
          <w:between w:val="nil"/>
        </w:pBdr>
        <w:ind w:left="714" w:hanging="357"/>
        <w:rPr>
          <w:color w:val="000000"/>
        </w:rPr>
      </w:pPr>
      <w:r>
        <w:rPr>
          <w:color w:val="000000"/>
        </w:rPr>
        <w:t>Comprehensive insight into</w:t>
      </w:r>
      <w:r w:rsidR="00395D1F">
        <w:rPr>
          <w:color w:val="000000"/>
        </w:rPr>
        <w:t xml:space="preserve"> EU </w:t>
      </w:r>
      <w:r>
        <w:rPr>
          <w:color w:val="000000"/>
        </w:rPr>
        <w:t xml:space="preserve">institutions and relevant </w:t>
      </w:r>
      <w:r w:rsidRPr="007A0C2E">
        <w:rPr>
          <w:i/>
          <w:color w:val="000000"/>
        </w:rPr>
        <w:t>acquis</w:t>
      </w:r>
      <w:r>
        <w:rPr>
          <w:color w:val="000000"/>
        </w:rPr>
        <w:t xml:space="preserve"> is required;</w:t>
      </w:r>
    </w:p>
    <w:p w14:paraId="508B5694" w14:textId="77777777" w:rsidR="00CD759C" w:rsidRDefault="007A0C2E">
      <w:pPr>
        <w:numPr>
          <w:ilvl w:val="0"/>
          <w:numId w:val="4"/>
        </w:numPr>
        <w:pBdr>
          <w:top w:val="nil"/>
          <w:left w:val="nil"/>
          <w:bottom w:val="nil"/>
          <w:right w:val="nil"/>
          <w:between w:val="nil"/>
        </w:pBdr>
        <w:ind w:left="714" w:hanging="357"/>
        <w:rPr>
          <w:color w:val="000000"/>
        </w:rPr>
      </w:pPr>
      <w:r>
        <w:rPr>
          <w:color w:val="000000"/>
        </w:rPr>
        <w:t xml:space="preserve">Knowledge about the EU </w:t>
      </w:r>
      <w:r w:rsidR="00395D1F">
        <w:rPr>
          <w:color w:val="000000"/>
        </w:rPr>
        <w:t>enlargement</w:t>
      </w:r>
      <w:r>
        <w:rPr>
          <w:color w:val="000000"/>
        </w:rPr>
        <w:t xml:space="preserve"> process an advantage</w:t>
      </w:r>
      <w:r w:rsidR="00395D1F">
        <w:rPr>
          <w:color w:val="000000"/>
        </w:rPr>
        <w:t xml:space="preserve">; </w:t>
      </w:r>
    </w:p>
    <w:p w14:paraId="0C854BD4" w14:textId="77777777" w:rsidR="00CD759C" w:rsidRDefault="00394CCD">
      <w:pPr>
        <w:numPr>
          <w:ilvl w:val="0"/>
          <w:numId w:val="4"/>
        </w:numPr>
        <w:pBdr>
          <w:top w:val="nil"/>
          <w:left w:val="nil"/>
          <w:bottom w:val="nil"/>
          <w:right w:val="nil"/>
          <w:between w:val="nil"/>
        </w:pBdr>
        <w:ind w:left="714" w:hanging="357"/>
        <w:rPr>
          <w:color w:val="000000"/>
        </w:rPr>
      </w:pPr>
      <w:r>
        <w:rPr>
          <w:color w:val="000000"/>
        </w:rPr>
        <w:t>P</w:t>
      </w:r>
      <w:r w:rsidR="00395D1F">
        <w:rPr>
          <w:color w:val="000000"/>
        </w:rPr>
        <w:t xml:space="preserve">rofessional experience of cooperation with international technical assistance projects or international </w:t>
      </w:r>
      <w:r w:rsidR="00395D1F">
        <w:t>organisations</w:t>
      </w:r>
      <w:r w:rsidR="00395D1F">
        <w:rPr>
          <w:color w:val="000000"/>
        </w:rPr>
        <w:t>;</w:t>
      </w:r>
    </w:p>
    <w:p w14:paraId="70BAB23E" w14:textId="77777777" w:rsidR="00CD759C" w:rsidRDefault="00395D1F">
      <w:pPr>
        <w:numPr>
          <w:ilvl w:val="0"/>
          <w:numId w:val="4"/>
        </w:numPr>
        <w:pBdr>
          <w:top w:val="nil"/>
          <w:left w:val="nil"/>
          <w:bottom w:val="nil"/>
          <w:right w:val="nil"/>
          <w:between w:val="nil"/>
        </w:pBdr>
        <w:ind w:left="714" w:hanging="357"/>
        <w:rPr>
          <w:color w:val="000000"/>
        </w:rPr>
      </w:pPr>
      <w:r>
        <w:rPr>
          <w:color w:val="000000"/>
        </w:rPr>
        <w:t>Relevant working experience in Ukraine;</w:t>
      </w:r>
    </w:p>
    <w:p w14:paraId="4554F780" w14:textId="77777777" w:rsidR="00CD759C" w:rsidRDefault="007A0C2E">
      <w:pPr>
        <w:numPr>
          <w:ilvl w:val="0"/>
          <w:numId w:val="4"/>
        </w:numPr>
        <w:pBdr>
          <w:top w:val="nil"/>
          <w:left w:val="nil"/>
          <w:bottom w:val="nil"/>
          <w:right w:val="nil"/>
          <w:between w:val="nil"/>
        </w:pBdr>
        <w:ind w:left="714" w:hanging="357"/>
        <w:rPr>
          <w:color w:val="000000"/>
        </w:rPr>
      </w:pPr>
      <w:r>
        <w:rPr>
          <w:color w:val="000000"/>
        </w:rPr>
        <w:t>Excellent p</w:t>
      </w:r>
      <w:r w:rsidR="00395D1F">
        <w:rPr>
          <w:color w:val="000000"/>
        </w:rPr>
        <w:t>ublic policy and legal drafting skills;</w:t>
      </w:r>
    </w:p>
    <w:p w14:paraId="67A7B074" w14:textId="77777777" w:rsidR="00CD759C" w:rsidRDefault="00395D1F">
      <w:pPr>
        <w:numPr>
          <w:ilvl w:val="0"/>
          <w:numId w:val="4"/>
        </w:numPr>
        <w:pBdr>
          <w:top w:val="nil"/>
          <w:left w:val="nil"/>
          <w:bottom w:val="nil"/>
          <w:right w:val="nil"/>
          <w:between w:val="nil"/>
        </w:pBdr>
        <w:ind w:left="714" w:hanging="357"/>
        <w:rPr>
          <w:color w:val="000000"/>
        </w:rPr>
      </w:pPr>
      <w:r>
        <w:rPr>
          <w:color w:val="000000"/>
        </w:rPr>
        <w:t>Strong oral and written communication skills;</w:t>
      </w:r>
    </w:p>
    <w:p w14:paraId="272952DF" w14:textId="77777777" w:rsidR="001F62DF" w:rsidRDefault="001F62DF">
      <w:pPr>
        <w:numPr>
          <w:ilvl w:val="0"/>
          <w:numId w:val="4"/>
        </w:numPr>
        <w:pBdr>
          <w:top w:val="nil"/>
          <w:left w:val="nil"/>
          <w:bottom w:val="nil"/>
          <w:right w:val="nil"/>
          <w:between w:val="nil"/>
        </w:pBdr>
        <w:ind w:left="714" w:hanging="357"/>
        <w:rPr>
          <w:color w:val="000000"/>
        </w:rPr>
      </w:pPr>
      <w:r>
        <w:rPr>
          <w:color w:val="000000"/>
        </w:rPr>
        <w:t>High integrity;</w:t>
      </w:r>
    </w:p>
    <w:p w14:paraId="775CEABB" w14:textId="77777777" w:rsidR="00CD759C" w:rsidRDefault="00395D1F">
      <w:pPr>
        <w:numPr>
          <w:ilvl w:val="0"/>
          <w:numId w:val="4"/>
        </w:numPr>
        <w:pBdr>
          <w:top w:val="nil"/>
          <w:left w:val="nil"/>
          <w:bottom w:val="nil"/>
          <w:right w:val="nil"/>
          <w:between w:val="nil"/>
        </w:pBdr>
        <w:ind w:left="714" w:hanging="357"/>
        <w:rPr>
          <w:color w:val="000000"/>
        </w:rPr>
      </w:pPr>
      <w:r>
        <w:rPr>
          <w:color w:val="000000"/>
        </w:rPr>
        <w:t>Fluency in written and oral English</w:t>
      </w:r>
      <w:r w:rsidR="00394CCD">
        <w:rPr>
          <w:color w:val="000000"/>
        </w:rPr>
        <w:t xml:space="preserve"> and </w:t>
      </w:r>
      <w:r>
        <w:rPr>
          <w:color w:val="000000"/>
        </w:rPr>
        <w:t xml:space="preserve">Ukrainian. </w:t>
      </w:r>
    </w:p>
    <w:p w14:paraId="42A61134" w14:textId="77777777" w:rsidR="00CD759C" w:rsidRDefault="00CD759C">
      <w:pPr>
        <w:pBdr>
          <w:top w:val="nil"/>
          <w:left w:val="nil"/>
          <w:bottom w:val="nil"/>
          <w:right w:val="nil"/>
          <w:between w:val="nil"/>
        </w:pBdr>
        <w:spacing w:before="120"/>
        <w:ind w:right="156"/>
        <w:jc w:val="both"/>
        <w:rPr>
          <w:color w:val="000000"/>
        </w:rPr>
      </w:pPr>
    </w:p>
    <w:p w14:paraId="77EEC8BC" w14:textId="77777777" w:rsidR="00D918EC" w:rsidRPr="00237EC1" w:rsidRDefault="00D918EC" w:rsidP="00D918EC">
      <w:pPr>
        <w:pBdr>
          <w:top w:val="nil"/>
          <w:left w:val="nil"/>
          <w:bottom w:val="nil"/>
          <w:right w:val="nil"/>
          <w:between w:val="nil"/>
        </w:pBdr>
        <w:rPr>
          <w:b/>
          <w:color w:val="000000"/>
        </w:rPr>
      </w:pPr>
      <w:r w:rsidRPr="00237EC1">
        <w:rPr>
          <w:b/>
          <w:color w:val="000000"/>
        </w:rPr>
        <w:t>Award criteria</w:t>
      </w:r>
    </w:p>
    <w:p w14:paraId="1E97D420" w14:textId="77777777" w:rsidR="00D918EC" w:rsidRPr="00237EC1" w:rsidRDefault="00D918EC" w:rsidP="00D918EC">
      <w:pPr>
        <w:pBdr>
          <w:top w:val="nil"/>
          <w:left w:val="nil"/>
          <w:bottom w:val="nil"/>
          <w:right w:val="nil"/>
          <w:between w:val="nil"/>
        </w:pBdr>
        <w:rPr>
          <w:color w:val="000000"/>
        </w:rPr>
      </w:pPr>
      <w:r w:rsidRPr="00237EC1">
        <w:rPr>
          <w:color w:val="000000"/>
        </w:rPr>
        <w:t>• Criterion 1: Professional experience</w:t>
      </w:r>
      <w:r>
        <w:rPr>
          <w:color w:val="000000"/>
        </w:rPr>
        <w:t xml:space="preserve"> (7</w:t>
      </w:r>
      <w:r w:rsidRPr="00237EC1">
        <w:rPr>
          <w:color w:val="000000"/>
        </w:rPr>
        <w:t>0%), consisting of the length of experience and the proven track record of practical achievements in the given field;</w:t>
      </w:r>
    </w:p>
    <w:p w14:paraId="41B1A4F8" w14:textId="77777777" w:rsidR="00D918EC" w:rsidRDefault="00D918EC" w:rsidP="00D918EC">
      <w:pPr>
        <w:pBdr>
          <w:top w:val="nil"/>
          <w:left w:val="nil"/>
          <w:bottom w:val="nil"/>
          <w:right w:val="nil"/>
          <w:between w:val="nil"/>
        </w:pBdr>
        <w:rPr>
          <w:color w:val="000000"/>
        </w:rPr>
      </w:pPr>
      <w:r>
        <w:rPr>
          <w:color w:val="000000"/>
        </w:rPr>
        <w:t>• Criterion 2: Financial offer (3</w:t>
      </w:r>
      <w:r w:rsidRPr="00237EC1">
        <w:rPr>
          <w:color w:val="000000"/>
        </w:rPr>
        <w:t>0%).</w:t>
      </w:r>
    </w:p>
    <w:p w14:paraId="571293A9" w14:textId="77777777" w:rsidR="00D918EC" w:rsidRDefault="00D918EC">
      <w:pPr>
        <w:pBdr>
          <w:top w:val="nil"/>
          <w:left w:val="nil"/>
          <w:bottom w:val="nil"/>
          <w:right w:val="nil"/>
          <w:between w:val="nil"/>
        </w:pBdr>
        <w:spacing w:before="120"/>
        <w:ind w:right="156"/>
        <w:jc w:val="both"/>
        <w:rPr>
          <w:color w:val="000000"/>
        </w:rPr>
      </w:pPr>
    </w:p>
    <w:p w14:paraId="7EB7A4DD" w14:textId="77777777" w:rsidR="00D918EC" w:rsidRDefault="00D918EC">
      <w:pPr>
        <w:pBdr>
          <w:top w:val="nil"/>
          <w:left w:val="nil"/>
          <w:bottom w:val="nil"/>
          <w:right w:val="nil"/>
          <w:between w:val="nil"/>
        </w:pBdr>
        <w:spacing w:before="120"/>
        <w:ind w:right="156"/>
        <w:jc w:val="both"/>
        <w:rPr>
          <w:color w:val="000000"/>
        </w:rPr>
      </w:pPr>
    </w:p>
    <w:p w14:paraId="663CB6C2" w14:textId="77777777" w:rsidR="00CD759C" w:rsidRDefault="00395D1F">
      <w:pPr>
        <w:numPr>
          <w:ilvl w:val="0"/>
          <w:numId w:val="2"/>
        </w:numPr>
        <w:pBdr>
          <w:top w:val="nil"/>
          <w:left w:val="nil"/>
          <w:bottom w:val="nil"/>
          <w:right w:val="nil"/>
          <w:between w:val="nil"/>
        </w:pBdr>
        <w:tabs>
          <w:tab w:val="left" w:pos="837"/>
        </w:tabs>
        <w:spacing w:before="75"/>
        <w:rPr>
          <w:b/>
          <w:color w:val="000000"/>
          <w:sz w:val="24"/>
          <w:szCs w:val="24"/>
        </w:rPr>
      </w:pPr>
      <w:r>
        <w:rPr>
          <w:b/>
          <w:color w:val="000000"/>
          <w:sz w:val="24"/>
          <w:szCs w:val="24"/>
        </w:rPr>
        <w:t>Timing, Estimated Budget and Level of Effort</w:t>
      </w:r>
    </w:p>
    <w:p w14:paraId="423C0FB6" w14:textId="77777777" w:rsidR="00CD759C" w:rsidRDefault="00CD75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15338DCA" w14:textId="77777777" w:rsidR="001F62DF" w:rsidRDefault="001F62DF" w:rsidP="001F62DF">
      <w:pPr>
        <w:pBdr>
          <w:top w:val="nil"/>
          <w:left w:val="nil"/>
          <w:bottom w:val="nil"/>
          <w:right w:val="nil"/>
          <w:between w:val="nil"/>
        </w:pBdr>
        <w:spacing w:before="120"/>
        <w:ind w:right="156"/>
        <w:jc w:val="both"/>
        <w:rPr>
          <w:color w:val="000000"/>
        </w:rPr>
      </w:pPr>
      <w:r>
        <w:rPr>
          <w:color w:val="000000"/>
        </w:rPr>
        <w:t xml:space="preserve">The duration of this assignment is estimated to be 35 calendar months to commence in </w:t>
      </w:r>
      <w:r w:rsidR="000B3319">
        <w:rPr>
          <w:color w:val="000000"/>
          <w:lang w:val="en-US"/>
        </w:rPr>
        <w:t>June</w:t>
      </w:r>
      <w:r>
        <w:rPr>
          <w:color w:val="000000"/>
        </w:rPr>
        <w:t xml:space="preserve"> 2024. The total budget under a contract may not exceed EUR 60,000. We offer a framework contract where the EUACI reserves the right to order selected services under the concluded contracts according to needs identified by the EUACI. For each assignment the EUACI and the service provider will agree on the amount of working hours needed and the duration of the assignment.</w:t>
      </w:r>
    </w:p>
    <w:p w14:paraId="75D33B99" w14:textId="77777777" w:rsidR="001F62DF" w:rsidRDefault="001F62DF" w:rsidP="001F62D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The contract presumes </w:t>
      </w:r>
      <w:r>
        <w:t>to cover</w:t>
      </w:r>
      <w:r>
        <w:rPr>
          <w:color w:val="000000"/>
        </w:rPr>
        <w:t xml:space="preserve"> direct costs related to service provision, including travel, accommodation, </w:t>
      </w:r>
      <w:r>
        <w:t xml:space="preserve">and </w:t>
      </w:r>
      <w:r>
        <w:rPr>
          <w:color w:val="000000"/>
        </w:rPr>
        <w:t>per diems (in addition to honor</w:t>
      </w:r>
      <w:r>
        <w:t>a</w:t>
      </w:r>
      <w:r>
        <w:rPr>
          <w:color w:val="000000"/>
        </w:rPr>
        <w:t>r</w:t>
      </w:r>
      <w:r>
        <w:t>ium)</w:t>
      </w:r>
      <w:r>
        <w:rPr>
          <w:color w:val="000000"/>
        </w:rPr>
        <w:t xml:space="preserve">. Expenses for auditing the services will be also covered. </w:t>
      </w:r>
    </w:p>
    <w:p w14:paraId="43A245C8" w14:textId="77777777" w:rsidR="00CD759C" w:rsidRDefault="00CD759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435BE465" w14:textId="77777777" w:rsidR="00CD759C" w:rsidRDefault="00395D1F">
      <w:pPr>
        <w:pBdr>
          <w:top w:val="nil"/>
          <w:left w:val="nil"/>
          <w:bottom w:val="nil"/>
          <w:right w:val="nil"/>
          <w:between w:val="nil"/>
        </w:pBdr>
        <w:spacing w:before="120"/>
        <w:ind w:right="217"/>
        <w:jc w:val="both"/>
        <w:rPr>
          <w:color w:val="000000"/>
        </w:rPr>
      </w:pPr>
      <w:r>
        <w:rPr>
          <w:color w:val="000000"/>
        </w:rPr>
        <w:t>The fees agreed during the conclusion of the contract are final and not subject to review.</w:t>
      </w:r>
    </w:p>
    <w:p w14:paraId="3755CF42" w14:textId="77777777" w:rsidR="00CD759C" w:rsidRDefault="00CD759C">
      <w:pPr>
        <w:pBdr>
          <w:top w:val="nil"/>
          <w:left w:val="nil"/>
          <w:bottom w:val="nil"/>
          <w:right w:val="nil"/>
          <w:between w:val="nil"/>
        </w:pBdr>
        <w:spacing w:before="120"/>
        <w:ind w:right="217"/>
        <w:jc w:val="both"/>
        <w:rPr>
          <w:color w:val="000000"/>
        </w:rPr>
      </w:pPr>
    </w:p>
    <w:p w14:paraId="71FCE546" w14:textId="77777777" w:rsidR="00D918EC" w:rsidRDefault="00D918EC" w:rsidP="00D918EC">
      <w:pPr>
        <w:pBdr>
          <w:top w:val="nil"/>
          <w:left w:val="nil"/>
          <w:bottom w:val="nil"/>
          <w:right w:val="nil"/>
          <w:between w:val="nil"/>
        </w:pBdr>
        <w:rPr>
          <w:color w:val="000000"/>
        </w:rPr>
      </w:pPr>
    </w:p>
    <w:p w14:paraId="0DF4A784" w14:textId="77777777" w:rsidR="00D918EC" w:rsidRPr="00D918EC" w:rsidRDefault="00D918EC" w:rsidP="00D918EC">
      <w:pPr>
        <w:pStyle w:val="ListParagraph"/>
        <w:numPr>
          <w:ilvl w:val="0"/>
          <w:numId w:val="2"/>
        </w:numPr>
        <w:pBdr>
          <w:top w:val="nil"/>
          <w:left w:val="nil"/>
          <w:bottom w:val="nil"/>
          <w:right w:val="nil"/>
          <w:between w:val="nil"/>
        </w:pBdr>
        <w:tabs>
          <w:tab w:val="left" w:pos="837"/>
        </w:tabs>
        <w:spacing w:before="75"/>
        <w:rPr>
          <w:b/>
          <w:color w:val="000000"/>
          <w:sz w:val="24"/>
          <w:szCs w:val="24"/>
        </w:rPr>
      </w:pPr>
      <w:r w:rsidRPr="00D918EC">
        <w:rPr>
          <w:b/>
          <w:color w:val="000000"/>
          <w:sz w:val="24"/>
          <w:szCs w:val="24"/>
        </w:rPr>
        <w:t>Tender submission and subsequent procedures</w:t>
      </w:r>
    </w:p>
    <w:p w14:paraId="7DCB3ACE" w14:textId="77777777" w:rsidR="00D918EC" w:rsidRDefault="00D918EC" w:rsidP="00D91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789BF874" w14:textId="77777777" w:rsidR="00D918EC" w:rsidRDefault="00D918EC" w:rsidP="00D918EC">
      <w:pPr>
        <w:pBdr>
          <w:top w:val="nil"/>
          <w:left w:val="nil"/>
          <w:bottom w:val="nil"/>
          <w:right w:val="nil"/>
          <w:between w:val="nil"/>
        </w:pBdr>
        <w:spacing w:before="120"/>
        <w:rPr>
          <w:color w:val="000000"/>
        </w:rPr>
      </w:pPr>
      <w:r w:rsidRPr="00237EC1">
        <w:rPr>
          <w:color w:val="000000"/>
        </w:rPr>
        <w:t xml:space="preserve">Tenders must be sent to the Ministry of Foreign Affairs of Denmark, </w:t>
      </w:r>
      <w:r>
        <w:rPr>
          <w:color w:val="000000"/>
        </w:rPr>
        <w:t xml:space="preserve">the EUACI within the deadlines communicated in the respective tender announcement on the web-portal of the </w:t>
      </w:r>
      <w:r w:rsidRPr="00237EC1">
        <w:rPr>
          <w:color w:val="000000"/>
        </w:rPr>
        <w:t>Ministry of Foreign Affairs of Denmark</w:t>
      </w:r>
      <w:r>
        <w:rPr>
          <w:color w:val="000000"/>
        </w:rPr>
        <w:t xml:space="preserve">. </w:t>
      </w:r>
    </w:p>
    <w:p w14:paraId="129771A8" w14:textId="77777777" w:rsidR="00D918EC" w:rsidRDefault="00D918EC" w:rsidP="00D918EC">
      <w:pPr>
        <w:pBdr>
          <w:top w:val="nil"/>
          <w:left w:val="nil"/>
          <w:bottom w:val="nil"/>
          <w:right w:val="nil"/>
          <w:between w:val="nil"/>
        </w:pBdr>
        <w:spacing w:before="120"/>
        <w:rPr>
          <w:color w:val="000000"/>
        </w:rPr>
      </w:pPr>
      <w:r>
        <w:rPr>
          <w:color w:val="000000"/>
        </w:rPr>
        <w:t>The tenderers are expected to submit their interest, after which they will be invited to fill out the official forms to prove their s</w:t>
      </w:r>
      <w:r w:rsidRPr="0065187D">
        <w:rPr>
          <w:color w:val="000000"/>
        </w:rPr>
        <w:t xml:space="preserve">uitability </w:t>
      </w:r>
      <w:r>
        <w:rPr>
          <w:color w:val="000000"/>
        </w:rPr>
        <w:t>and to declare the statement of joint p</w:t>
      </w:r>
      <w:r w:rsidRPr="0065187D">
        <w:rPr>
          <w:color w:val="000000"/>
        </w:rPr>
        <w:t xml:space="preserve">articipation </w:t>
      </w:r>
      <w:r>
        <w:rPr>
          <w:color w:val="000000"/>
        </w:rPr>
        <w:t xml:space="preserve">(if relevant). </w:t>
      </w:r>
    </w:p>
    <w:p w14:paraId="56EFE2B7" w14:textId="77777777" w:rsidR="00D918EC" w:rsidRDefault="00D918EC" w:rsidP="00D918EC">
      <w:pPr>
        <w:pBdr>
          <w:top w:val="nil"/>
          <w:left w:val="nil"/>
          <w:bottom w:val="nil"/>
          <w:right w:val="nil"/>
          <w:between w:val="nil"/>
        </w:pBdr>
        <w:spacing w:before="120"/>
        <w:rPr>
          <w:color w:val="000000"/>
        </w:rPr>
      </w:pPr>
      <w:r>
        <w:rPr>
          <w:color w:val="000000"/>
        </w:rPr>
        <w:t xml:space="preserve">If eligibility for participating in tender is proved, tenderers will be </w:t>
      </w:r>
      <w:r w:rsidRPr="0065187D">
        <w:rPr>
          <w:color w:val="000000"/>
        </w:rPr>
        <w:t>invite</w:t>
      </w:r>
      <w:r>
        <w:rPr>
          <w:color w:val="000000"/>
        </w:rPr>
        <w:t>d</w:t>
      </w:r>
      <w:r w:rsidRPr="0065187D">
        <w:rPr>
          <w:color w:val="000000"/>
        </w:rPr>
        <w:t xml:space="preserve"> to </w:t>
      </w:r>
      <w:r>
        <w:rPr>
          <w:color w:val="000000"/>
        </w:rPr>
        <w:t xml:space="preserve">provide </w:t>
      </w:r>
      <w:r w:rsidRPr="00237EC1">
        <w:rPr>
          <w:color w:val="000000"/>
        </w:rPr>
        <w:t>the following documents</w:t>
      </w:r>
      <w:r>
        <w:rPr>
          <w:color w:val="000000"/>
        </w:rPr>
        <w:t xml:space="preserve"> </w:t>
      </w:r>
      <w:r w:rsidRPr="000C73D7">
        <w:rPr>
          <w:i/>
          <w:color w:val="000000"/>
        </w:rPr>
        <w:t>within official templates</w:t>
      </w:r>
      <w:r>
        <w:rPr>
          <w:color w:val="000000"/>
        </w:rPr>
        <w:t xml:space="preserve">: </w:t>
      </w:r>
    </w:p>
    <w:p w14:paraId="4BD97885" w14:textId="77777777" w:rsidR="00D918EC" w:rsidRPr="00237EC1" w:rsidRDefault="00D918EC" w:rsidP="00D918EC">
      <w:pPr>
        <w:pBdr>
          <w:top w:val="nil"/>
          <w:left w:val="nil"/>
          <w:bottom w:val="nil"/>
          <w:right w:val="nil"/>
          <w:between w:val="nil"/>
        </w:pBdr>
        <w:spacing w:before="120"/>
        <w:rPr>
          <w:color w:val="000000"/>
        </w:rPr>
      </w:pPr>
      <w:r w:rsidRPr="00237EC1">
        <w:rPr>
          <w:color w:val="000000"/>
        </w:rPr>
        <w:t xml:space="preserve"> </w:t>
      </w:r>
    </w:p>
    <w:p w14:paraId="70F171B0" w14:textId="77777777" w:rsidR="00D918EC" w:rsidRPr="00237EC1" w:rsidRDefault="00D918EC" w:rsidP="00D918EC">
      <w:pPr>
        <w:numPr>
          <w:ilvl w:val="0"/>
          <w:numId w:val="7"/>
        </w:numPr>
        <w:pBdr>
          <w:top w:val="nil"/>
          <w:left w:val="nil"/>
          <w:bottom w:val="nil"/>
          <w:right w:val="nil"/>
          <w:between w:val="nil"/>
        </w:pBdr>
        <w:ind w:left="714" w:hanging="357"/>
        <w:rPr>
          <w:color w:val="000000"/>
        </w:rPr>
      </w:pPr>
      <w:r w:rsidRPr="00237EC1">
        <w:rPr>
          <w:color w:val="000000"/>
        </w:rPr>
        <w:t>CV in English of a tenderer;</w:t>
      </w:r>
    </w:p>
    <w:p w14:paraId="79A351F0" w14:textId="77777777" w:rsidR="00D918EC" w:rsidRDefault="00D918EC" w:rsidP="00D918EC">
      <w:pPr>
        <w:numPr>
          <w:ilvl w:val="0"/>
          <w:numId w:val="7"/>
        </w:numPr>
        <w:pBdr>
          <w:top w:val="nil"/>
          <w:left w:val="nil"/>
          <w:bottom w:val="nil"/>
          <w:right w:val="nil"/>
          <w:between w:val="nil"/>
        </w:pBdr>
        <w:ind w:left="714" w:hanging="357"/>
        <w:rPr>
          <w:color w:val="000000"/>
        </w:rPr>
      </w:pPr>
      <w:r>
        <w:rPr>
          <w:color w:val="000000"/>
        </w:rPr>
        <w:t>Budget (with identifying a daily / hourly rate);</w:t>
      </w:r>
    </w:p>
    <w:p w14:paraId="098B5EB3" w14:textId="77777777" w:rsidR="00D918EC" w:rsidRDefault="00D918EC" w:rsidP="00D918EC">
      <w:pPr>
        <w:pBdr>
          <w:top w:val="nil"/>
          <w:left w:val="nil"/>
          <w:bottom w:val="nil"/>
          <w:right w:val="nil"/>
          <w:between w:val="nil"/>
        </w:pBdr>
        <w:ind w:left="357"/>
        <w:rPr>
          <w:color w:val="000000"/>
        </w:rPr>
      </w:pPr>
    </w:p>
    <w:p w14:paraId="42BCABE7" w14:textId="77777777" w:rsidR="00D918EC" w:rsidRDefault="00D918EC" w:rsidP="00D918EC">
      <w:pPr>
        <w:pBdr>
          <w:top w:val="nil"/>
          <w:left w:val="nil"/>
          <w:bottom w:val="nil"/>
          <w:right w:val="nil"/>
          <w:between w:val="nil"/>
        </w:pBdr>
        <w:ind w:left="357"/>
        <w:rPr>
          <w:color w:val="000000"/>
        </w:rPr>
      </w:pPr>
      <w:r>
        <w:rPr>
          <w:color w:val="000000"/>
        </w:rPr>
        <w:t>Besides,</w:t>
      </w:r>
    </w:p>
    <w:p w14:paraId="5B1BA392" w14:textId="77777777" w:rsidR="00D918EC" w:rsidRDefault="00D918EC" w:rsidP="00D918EC">
      <w:pPr>
        <w:pStyle w:val="ListParagraph"/>
        <w:numPr>
          <w:ilvl w:val="0"/>
          <w:numId w:val="7"/>
        </w:numPr>
        <w:pBdr>
          <w:top w:val="nil"/>
          <w:left w:val="nil"/>
          <w:bottom w:val="nil"/>
          <w:right w:val="nil"/>
          <w:between w:val="nil"/>
        </w:pBdr>
        <w:rPr>
          <w:color w:val="000000"/>
        </w:rPr>
      </w:pPr>
      <w:r w:rsidRPr="000C73D7">
        <w:rPr>
          <w:color w:val="000000"/>
        </w:rPr>
        <w:t xml:space="preserve"> registration documents certifying the status of a tenderer (both for individuals and legal entities)</w:t>
      </w:r>
      <w:r>
        <w:rPr>
          <w:color w:val="000000"/>
        </w:rPr>
        <w:t>,</w:t>
      </w:r>
    </w:p>
    <w:p w14:paraId="4E5EEC08" w14:textId="77777777" w:rsidR="00D918EC" w:rsidRDefault="00D918EC" w:rsidP="00D918EC">
      <w:pPr>
        <w:pStyle w:val="ListParagraph"/>
        <w:numPr>
          <w:ilvl w:val="0"/>
          <w:numId w:val="7"/>
        </w:numPr>
        <w:pBdr>
          <w:top w:val="nil"/>
          <w:left w:val="nil"/>
          <w:bottom w:val="nil"/>
          <w:right w:val="nil"/>
          <w:between w:val="nil"/>
        </w:pBdr>
        <w:rPr>
          <w:color w:val="000000"/>
        </w:rPr>
      </w:pPr>
      <w:r w:rsidRPr="00237EC1">
        <w:rPr>
          <w:color w:val="000000"/>
        </w:rPr>
        <w:t>2 referees' contact details.</w:t>
      </w:r>
    </w:p>
    <w:p w14:paraId="2A91E080" w14:textId="77777777" w:rsidR="00D918EC" w:rsidRPr="000C73D7" w:rsidRDefault="00D918EC" w:rsidP="00D918EC">
      <w:pPr>
        <w:pBdr>
          <w:top w:val="nil"/>
          <w:left w:val="nil"/>
          <w:bottom w:val="nil"/>
          <w:right w:val="nil"/>
          <w:between w:val="nil"/>
        </w:pBdr>
        <w:ind w:left="360"/>
        <w:rPr>
          <w:color w:val="000000"/>
        </w:rPr>
      </w:pPr>
      <w:r w:rsidRPr="000C73D7">
        <w:rPr>
          <w:color w:val="000000"/>
        </w:rPr>
        <w:t>will have to be submitted</w:t>
      </w:r>
      <w:r>
        <w:rPr>
          <w:color w:val="000000"/>
        </w:rPr>
        <w:t>.</w:t>
      </w:r>
      <w:r w:rsidRPr="000C73D7">
        <w:rPr>
          <w:color w:val="000000"/>
        </w:rPr>
        <w:t xml:space="preserve"> </w:t>
      </w:r>
    </w:p>
    <w:p w14:paraId="395E5010" w14:textId="77777777" w:rsidR="00D918EC" w:rsidRPr="00237EC1" w:rsidRDefault="00D918EC" w:rsidP="00D918EC">
      <w:pPr>
        <w:pBdr>
          <w:top w:val="nil"/>
          <w:left w:val="nil"/>
          <w:bottom w:val="nil"/>
          <w:right w:val="nil"/>
          <w:between w:val="nil"/>
        </w:pBdr>
        <w:rPr>
          <w:color w:val="000000"/>
        </w:rPr>
      </w:pPr>
    </w:p>
    <w:p w14:paraId="72324D2D" w14:textId="77777777" w:rsidR="00D918EC" w:rsidRPr="00237EC1" w:rsidRDefault="00D918EC" w:rsidP="00D918EC">
      <w:pPr>
        <w:pBdr>
          <w:top w:val="nil"/>
          <w:left w:val="nil"/>
          <w:bottom w:val="nil"/>
          <w:right w:val="nil"/>
          <w:between w:val="nil"/>
        </w:pBdr>
        <w:rPr>
          <w:color w:val="000000"/>
        </w:rPr>
      </w:pPr>
    </w:p>
    <w:p w14:paraId="0EC7AF9C" w14:textId="77777777" w:rsidR="00D918EC" w:rsidRPr="00237EC1" w:rsidRDefault="00D918EC" w:rsidP="00D918EC">
      <w:pPr>
        <w:pBdr>
          <w:top w:val="nil"/>
          <w:left w:val="nil"/>
          <w:bottom w:val="nil"/>
          <w:right w:val="nil"/>
          <w:between w:val="nil"/>
        </w:pBdr>
        <w:spacing w:before="120"/>
        <w:rPr>
          <w:color w:val="000000"/>
        </w:rPr>
      </w:pPr>
      <w:r w:rsidRPr="00237EC1">
        <w:rPr>
          <w:color w:val="000000"/>
        </w:rPr>
        <w:t xml:space="preserve">All documents shall be submitted in English, failure to do so will result in the exclusion of a tender. </w:t>
      </w:r>
    </w:p>
    <w:p w14:paraId="1DA8BBAE" w14:textId="77777777" w:rsidR="00D918EC" w:rsidRPr="00237EC1" w:rsidRDefault="00D918EC" w:rsidP="00D918EC">
      <w:pPr>
        <w:pBdr>
          <w:top w:val="nil"/>
          <w:left w:val="nil"/>
          <w:bottom w:val="nil"/>
          <w:right w:val="nil"/>
          <w:between w:val="nil"/>
        </w:pBdr>
        <w:spacing w:before="120"/>
        <w:rPr>
          <w:color w:val="000000"/>
        </w:rPr>
      </w:pPr>
      <w:r w:rsidRPr="00237EC1">
        <w:rPr>
          <w:color w:val="000000"/>
        </w:rPr>
        <w:t xml:space="preserve">Tenders cannot not be considered if: </w:t>
      </w:r>
    </w:p>
    <w:p w14:paraId="6D34CB0A" w14:textId="77777777" w:rsidR="00D918EC" w:rsidRPr="00237EC1" w:rsidRDefault="00D918EC" w:rsidP="00D918EC">
      <w:pPr>
        <w:numPr>
          <w:ilvl w:val="0"/>
          <w:numId w:val="7"/>
        </w:numPr>
        <w:pBdr>
          <w:top w:val="nil"/>
          <w:left w:val="nil"/>
          <w:bottom w:val="nil"/>
          <w:right w:val="nil"/>
          <w:between w:val="nil"/>
        </w:pBdr>
        <w:ind w:left="714" w:hanging="357"/>
        <w:rPr>
          <w:color w:val="000000"/>
        </w:rPr>
      </w:pPr>
      <w:r w:rsidRPr="00237EC1">
        <w:rPr>
          <w:color w:val="000000"/>
        </w:rPr>
        <w:t>submitted in a language other than English, or</w:t>
      </w:r>
    </w:p>
    <w:p w14:paraId="1D5E2DC1" w14:textId="77777777" w:rsidR="00D918EC" w:rsidRPr="00237EC1" w:rsidRDefault="00D918EC" w:rsidP="00D918EC">
      <w:pPr>
        <w:numPr>
          <w:ilvl w:val="0"/>
          <w:numId w:val="7"/>
        </w:numPr>
        <w:pBdr>
          <w:top w:val="nil"/>
          <w:left w:val="nil"/>
          <w:bottom w:val="nil"/>
          <w:right w:val="nil"/>
          <w:between w:val="nil"/>
        </w:pBdr>
        <w:ind w:left="714" w:hanging="357"/>
        <w:rPr>
          <w:color w:val="000000"/>
        </w:rPr>
      </w:pPr>
      <w:r w:rsidRPr="00237EC1">
        <w:rPr>
          <w:color w:val="000000"/>
        </w:rPr>
        <w:t>sent to an e-mail account</w:t>
      </w:r>
      <w:r>
        <w:rPr>
          <w:color w:val="000000"/>
        </w:rPr>
        <w:t xml:space="preserve"> or address not mentioned in the official announcement</w:t>
      </w:r>
      <w:r w:rsidRPr="00237EC1">
        <w:rPr>
          <w:color w:val="000000"/>
        </w:rPr>
        <w:t xml:space="preserve">, or </w:t>
      </w:r>
    </w:p>
    <w:p w14:paraId="410E06FA" w14:textId="77777777" w:rsidR="00D918EC" w:rsidRPr="00237EC1" w:rsidRDefault="00D918EC" w:rsidP="00D918EC">
      <w:pPr>
        <w:numPr>
          <w:ilvl w:val="0"/>
          <w:numId w:val="7"/>
        </w:numPr>
        <w:pBdr>
          <w:top w:val="nil"/>
          <w:left w:val="nil"/>
          <w:bottom w:val="nil"/>
          <w:right w:val="nil"/>
          <w:between w:val="nil"/>
        </w:pBdr>
        <w:ind w:left="714" w:hanging="357"/>
        <w:rPr>
          <w:color w:val="000000"/>
        </w:rPr>
      </w:pPr>
      <w:r w:rsidRPr="00237EC1">
        <w:rPr>
          <w:color w:val="000000"/>
        </w:rPr>
        <w:t>missing any of the documents listed above, or</w:t>
      </w:r>
    </w:p>
    <w:p w14:paraId="522E71B2" w14:textId="77777777" w:rsidR="00D918EC" w:rsidRPr="00237EC1" w:rsidRDefault="00D918EC" w:rsidP="00D918EC">
      <w:pPr>
        <w:numPr>
          <w:ilvl w:val="0"/>
          <w:numId w:val="7"/>
        </w:numPr>
        <w:pBdr>
          <w:top w:val="nil"/>
          <w:left w:val="nil"/>
          <w:bottom w:val="nil"/>
          <w:right w:val="nil"/>
          <w:between w:val="nil"/>
        </w:pBdr>
        <w:ind w:left="714" w:hanging="357"/>
        <w:rPr>
          <w:color w:val="000000"/>
        </w:rPr>
      </w:pPr>
      <w:r w:rsidRPr="00237EC1">
        <w:rPr>
          <w:color w:val="000000"/>
        </w:rPr>
        <w:t xml:space="preserve">submitted after </w:t>
      </w:r>
      <w:r>
        <w:rPr>
          <w:color w:val="000000"/>
        </w:rPr>
        <w:t xml:space="preserve">a </w:t>
      </w:r>
      <w:r w:rsidRPr="00237EC1">
        <w:rPr>
          <w:color w:val="000000"/>
        </w:rPr>
        <w:t>deadline.</w:t>
      </w:r>
    </w:p>
    <w:p w14:paraId="5ACCA170" w14:textId="77777777" w:rsidR="00D918EC" w:rsidRDefault="00D918EC" w:rsidP="00D918EC">
      <w:pPr>
        <w:pBdr>
          <w:top w:val="nil"/>
          <w:left w:val="nil"/>
          <w:bottom w:val="nil"/>
          <w:right w:val="nil"/>
          <w:between w:val="nil"/>
        </w:pBdr>
        <w:rPr>
          <w:color w:val="000000"/>
        </w:rPr>
      </w:pPr>
    </w:p>
    <w:p w14:paraId="775A357A" w14:textId="77777777" w:rsidR="00D918EC" w:rsidRDefault="00D918EC" w:rsidP="00D918EC">
      <w:pPr>
        <w:pBdr>
          <w:top w:val="nil"/>
          <w:left w:val="nil"/>
          <w:bottom w:val="nil"/>
          <w:right w:val="nil"/>
          <w:between w:val="nil"/>
        </w:pBdr>
        <w:rPr>
          <w:color w:val="000000"/>
        </w:rPr>
      </w:pPr>
    </w:p>
    <w:p w14:paraId="5AC289D2" w14:textId="77777777" w:rsidR="00D918EC" w:rsidRPr="00812B39" w:rsidRDefault="00D918EC" w:rsidP="00D918EC">
      <w:pPr>
        <w:widowControl/>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A successful</w:t>
      </w:r>
      <w:r w:rsidRPr="00237EC1">
        <w:rPr>
          <w:color w:val="000000"/>
        </w:rPr>
        <w:t xml:space="preserve"> tenderer will be informed about being selected. </w:t>
      </w:r>
      <w:r>
        <w:rPr>
          <w:color w:val="000000"/>
        </w:rPr>
        <w:t>The respective long-term contract will be signed by the EUACI and an expert.</w:t>
      </w:r>
      <w:r w:rsidRPr="00237EC1">
        <w:rPr>
          <w:b/>
          <w:color w:val="000000"/>
          <w:sz w:val="24"/>
          <w:szCs w:val="24"/>
        </w:rPr>
        <w:t xml:space="preserve"> </w:t>
      </w:r>
    </w:p>
    <w:p w14:paraId="742E2AE8" w14:textId="77777777" w:rsidR="00D918EC" w:rsidRDefault="00D918EC" w:rsidP="00D918EC">
      <w:pPr>
        <w:pBdr>
          <w:top w:val="nil"/>
          <w:left w:val="nil"/>
          <w:bottom w:val="nil"/>
          <w:right w:val="nil"/>
          <w:between w:val="nil"/>
        </w:pBdr>
        <w:rPr>
          <w:color w:val="000000"/>
        </w:rPr>
      </w:pPr>
    </w:p>
    <w:p w14:paraId="2A30FC85" w14:textId="77777777" w:rsidR="00D918EC" w:rsidRDefault="00D918EC" w:rsidP="00D918EC">
      <w:pPr>
        <w:pBdr>
          <w:top w:val="nil"/>
          <w:left w:val="nil"/>
          <w:bottom w:val="nil"/>
          <w:right w:val="nil"/>
          <w:between w:val="nil"/>
        </w:pBdr>
        <w:rPr>
          <w:color w:val="000000"/>
        </w:rPr>
      </w:pPr>
    </w:p>
    <w:p w14:paraId="34544612" w14:textId="77777777" w:rsidR="00CD759C" w:rsidRDefault="00D918EC" w:rsidP="00D918EC">
      <w:pPr>
        <w:pBdr>
          <w:top w:val="nil"/>
          <w:left w:val="nil"/>
          <w:bottom w:val="nil"/>
          <w:right w:val="nil"/>
          <w:between w:val="nil"/>
        </w:pBdr>
        <w:ind w:left="227" w:right="225"/>
        <w:jc w:val="center"/>
        <w:rPr>
          <w:color w:val="000000"/>
        </w:rPr>
      </w:pPr>
      <w:r>
        <w:rPr>
          <w:color w:val="000000"/>
        </w:rPr>
        <w:t>*****</w:t>
      </w:r>
    </w:p>
    <w:sectPr w:rsidR="00CD759C">
      <w:pgSz w:w="11910" w:h="16840"/>
      <w:pgMar w:top="760" w:right="74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D69D" w14:textId="77777777" w:rsidR="00744A93" w:rsidRDefault="00744A93">
      <w:r>
        <w:separator/>
      </w:r>
    </w:p>
  </w:endnote>
  <w:endnote w:type="continuationSeparator" w:id="0">
    <w:p w14:paraId="707BD70A" w14:textId="77777777" w:rsidR="00744A93" w:rsidRDefault="0074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B13B" w14:textId="77777777" w:rsidR="00CD759C" w:rsidRDefault="00395D1F">
    <w:pPr>
      <w:pBdr>
        <w:top w:val="nil"/>
        <w:left w:val="nil"/>
        <w:bottom w:val="nil"/>
        <w:right w:val="nil"/>
        <w:between w:val="nil"/>
      </w:pBdr>
      <w:spacing w:line="14" w:lineRule="auto"/>
      <w:rPr>
        <w:color w:val="000000"/>
        <w:sz w:val="20"/>
        <w:szCs w:val="20"/>
      </w:rPr>
    </w:pPr>
    <w:r>
      <w:rPr>
        <w:noProof/>
        <w:lang w:bidi="ar-SA"/>
      </w:rPr>
      <mc:AlternateContent>
        <mc:Choice Requires="wps">
          <w:drawing>
            <wp:anchor distT="0" distB="0" distL="0" distR="0" simplePos="0" relativeHeight="251658240" behindDoc="1" locked="0" layoutInCell="1" hidden="0" allowOverlap="1" wp14:anchorId="25FA26D3" wp14:editId="08B02826">
              <wp:simplePos x="0" y="0"/>
              <wp:positionH relativeFrom="column">
                <wp:posOffset>6007100</wp:posOffset>
              </wp:positionH>
              <wp:positionV relativeFrom="paragraph">
                <wp:posOffset>9893300</wp:posOffset>
              </wp:positionV>
              <wp:extent cx="213360" cy="184785"/>
              <wp:effectExtent l="0" t="0" r="0" b="0"/>
              <wp:wrapNone/>
              <wp:docPr id="10" name="Rectangle 10"/>
              <wp:cNvGraphicFramePr/>
              <a:graphic xmlns:a="http://schemas.openxmlformats.org/drawingml/2006/main">
                <a:graphicData uri="http://schemas.microsoft.com/office/word/2010/wordprocessingShape">
                  <wps:wsp>
                    <wps:cNvSpPr/>
                    <wps:spPr>
                      <a:xfrm>
                        <a:off x="5248845" y="3697133"/>
                        <a:ext cx="194310" cy="165735"/>
                      </a:xfrm>
                      <a:prstGeom prst="rect">
                        <a:avLst/>
                      </a:prstGeom>
                      <a:noFill/>
                      <a:ln>
                        <a:noFill/>
                      </a:ln>
                    </wps:spPr>
                    <wps:txbx>
                      <w:txbxContent>
                        <w:p w14:paraId="6900F5D2" w14:textId="77777777" w:rsidR="00CD759C" w:rsidRDefault="00395D1F">
                          <w:pPr>
                            <w:spacing w:line="245" w:lineRule="auto"/>
                            <w:ind w:left="40" w:firstLine="40"/>
                            <w:textDirection w:val="btLr"/>
                          </w:pPr>
                          <w:r>
                            <w:rPr>
                              <w:rFonts w:ascii="Calibri" w:eastAsia="Calibri" w:hAnsi="Calibri" w:cs="Calibri"/>
                              <w:color w:val="000000"/>
                              <w:sz w:val="28"/>
                            </w:rPr>
                            <w:t xml:space="preserve"> PAGE 1</w:t>
                          </w:r>
                        </w:p>
                      </w:txbxContent>
                    </wps:txbx>
                    <wps:bodyPr spcFirstLastPara="1" wrap="square" lIns="0" tIns="0" rIns="0" bIns="0" anchor="t" anchorCtr="0">
                      <a:noAutofit/>
                    </wps:bodyPr>
                  </wps:wsp>
                </a:graphicData>
              </a:graphic>
            </wp:anchor>
          </w:drawing>
        </mc:Choice>
        <mc:Fallback>
          <w:pict>
            <v:rect id="_x0000_s1026" style="position:absolute;margin-left:473pt;margin-top:779pt;width:16.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" filled="f" stroked="f">
              <v:textbox inset="0,0,0,0">
                <w:txbxContent>
                  <w:p w:rsidR="00CD759C" w:rsidRDefault="00395D1F">
                    <w:pPr>
                      <w:spacing w:line="245" w:lineRule="auto"/>
                      <w:ind w:left="40" w:firstLine="40"/>
                      <w:textDirection w:val="btLr"/>
                    </w:pPr>
                    <w:r>
                      <w:rPr>
                        <w:rFonts w:ascii="Calibri" w:eastAsia="Calibri" w:hAnsi="Calibri" w:cs="Calibri"/>
                        <w:color w:val="000000"/>
                        <w:sz w:val="2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A31E" w14:textId="77777777" w:rsidR="00744A93" w:rsidRDefault="00744A93">
      <w:r>
        <w:separator/>
      </w:r>
    </w:p>
  </w:footnote>
  <w:footnote w:type="continuationSeparator" w:id="0">
    <w:p w14:paraId="33C78F76" w14:textId="77777777" w:rsidR="00744A93" w:rsidRDefault="0074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025"/>
    <w:multiLevelType w:val="hybridMultilevel"/>
    <w:tmpl w:val="A266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2977"/>
    <w:multiLevelType w:val="multilevel"/>
    <w:tmpl w:val="DE9A7864"/>
    <w:lvl w:ilvl="0">
      <w:start w:val="1"/>
      <w:numFmt w:val="decimal"/>
      <w:lvlText w:val="%1."/>
      <w:lvlJc w:val="left"/>
      <w:pPr>
        <w:ind w:left="630" w:hanging="360"/>
      </w:pPr>
      <w:rPr>
        <w:rFonts w:ascii="Calibri" w:eastAsia="Calibri" w:hAnsi="Calibri" w:cs="Calibri"/>
        <w:b/>
        <w:color w:val="234060"/>
        <w:sz w:val="28"/>
        <w:szCs w:val="28"/>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2" w15:restartNumberingAfterBreak="0">
    <w:nsid w:val="0DFB07A7"/>
    <w:multiLevelType w:val="multilevel"/>
    <w:tmpl w:val="76229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E50DC1"/>
    <w:multiLevelType w:val="multilevel"/>
    <w:tmpl w:val="BB122FE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A7B8C"/>
    <w:multiLevelType w:val="multilevel"/>
    <w:tmpl w:val="DB7005D0"/>
    <w:lvl w:ilvl="0">
      <w:start w:val="2"/>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AB015D"/>
    <w:multiLevelType w:val="multilevel"/>
    <w:tmpl w:val="04E051C2"/>
    <w:lvl w:ilvl="0">
      <w:start w:val="2"/>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9B10BC"/>
    <w:multiLevelType w:val="multilevel"/>
    <w:tmpl w:val="57A60DFC"/>
    <w:lvl w:ilvl="0">
      <w:start w:val="1"/>
      <w:numFmt w:val="decimal"/>
      <w:lvlText w:val="%1."/>
      <w:lvlJc w:val="left"/>
      <w:pPr>
        <w:ind w:left="630" w:hanging="360"/>
      </w:pPr>
      <w:rPr>
        <w:rFonts w:ascii="Calibri" w:eastAsia="Calibri" w:hAnsi="Calibri" w:cs="Calibri"/>
        <w:b/>
        <w:color w:val="234060"/>
        <w:sz w:val="28"/>
        <w:szCs w:val="28"/>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num w:numId="1" w16cid:durableId="710573389">
    <w:abstractNumId w:val="2"/>
  </w:num>
  <w:num w:numId="2" w16cid:durableId="1571429070">
    <w:abstractNumId w:val="1"/>
  </w:num>
  <w:num w:numId="3" w16cid:durableId="691497274">
    <w:abstractNumId w:val="3"/>
  </w:num>
  <w:num w:numId="4" w16cid:durableId="261380337">
    <w:abstractNumId w:val="4"/>
  </w:num>
  <w:num w:numId="5" w16cid:durableId="566035868">
    <w:abstractNumId w:val="0"/>
  </w:num>
  <w:num w:numId="6" w16cid:durableId="1017269653">
    <w:abstractNumId w:val="6"/>
  </w:num>
  <w:num w:numId="7" w16cid:durableId="128137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9C"/>
    <w:rsid w:val="0005432A"/>
    <w:rsid w:val="000B3319"/>
    <w:rsid w:val="000E479E"/>
    <w:rsid w:val="00120352"/>
    <w:rsid w:val="00141C75"/>
    <w:rsid w:val="001D1545"/>
    <w:rsid w:val="001F62DF"/>
    <w:rsid w:val="00373C26"/>
    <w:rsid w:val="00394CCD"/>
    <w:rsid w:val="00395D1F"/>
    <w:rsid w:val="0048162D"/>
    <w:rsid w:val="004F0AA3"/>
    <w:rsid w:val="004F3899"/>
    <w:rsid w:val="005A346B"/>
    <w:rsid w:val="005D0DC5"/>
    <w:rsid w:val="005D4846"/>
    <w:rsid w:val="0064030C"/>
    <w:rsid w:val="006930D7"/>
    <w:rsid w:val="00744A93"/>
    <w:rsid w:val="007A0C2E"/>
    <w:rsid w:val="007F54F7"/>
    <w:rsid w:val="00810566"/>
    <w:rsid w:val="0089329D"/>
    <w:rsid w:val="008A6BD0"/>
    <w:rsid w:val="008F33DE"/>
    <w:rsid w:val="008F34BA"/>
    <w:rsid w:val="00913F29"/>
    <w:rsid w:val="00AA6278"/>
    <w:rsid w:val="00AC51F6"/>
    <w:rsid w:val="00BC4EDE"/>
    <w:rsid w:val="00CA09DA"/>
    <w:rsid w:val="00CD759C"/>
    <w:rsid w:val="00D87855"/>
    <w:rsid w:val="00D918EC"/>
    <w:rsid w:val="00E03B5D"/>
    <w:rsid w:val="00E3536E"/>
    <w:rsid w:val="00EF76D7"/>
    <w:rsid w:val="00F21263"/>
    <w:rsid w:val="00F7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E68C"/>
  <w15:docId w15:val="{41C5F34E-91C8-4B15-8616-CC02BA5F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21"/>
    <w:rPr>
      <w:lang w:bidi="en-US"/>
    </w:rPr>
  </w:style>
  <w:style w:type="paragraph" w:styleId="Heading1">
    <w:name w:val="heading 1"/>
    <w:basedOn w:val="Normal"/>
    <w:uiPriority w:val="9"/>
    <w:qFormat/>
    <w:pPr>
      <w:spacing w:before="75"/>
      <w:ind w:left="836" w:hanging="361"/>
      <w:outlineLvl w:val="0"/>
    </w:pPr>
    <w:rPr>
      <w:b/>
      <w:bCs/>
      <w:sz w:val="28"/>
      <w:szCs w:val="28"/>
    </w:rPr>
  </w:style>
  <w:style w:type="paragraph" w:styleId="Heading2">
    <w:name w:val="heading 2"/>
    <w:basedOn w:val="Normal"/>
    <w:uiPriority w:val="9"/>
    <w:unhideWhenUsed/>
    <w:qFormat/>
    <w:pPr>
      <w:ind w:left="116"/>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style>
  <w:style w:type="paragraph" w:styleId="ListParagraph">
    <w:name w:val="List Paragraph"/>
    <w:aliases w:val="List Paragraph (numbered (a)),Lapis Bulleted List"/>
    <w:basedOn w:val="Normal"/>
    <w:link w:val="ListParagraphChar"/>
    <w:uiPriority w:val="1"/>
    <w:qFormat/>
    <w:pPr>
      <w:ind w:left="836" w:hanging="360"/>
    </w:pPr>
  </w:style>
  <w:style w:type="paragraph" w:customStyle="1" w:styleId="TableParagraph">
    <w:name w:val="Table Paragraph"/>
    <w:basedOn w:val="Normal"/>
    <w:uiPriority w:val="1"/>
    <w:qFormat/>
    <w:pPr>
      <w:spacing w:line="267" w:lineRule="exact"/>
      <w:ind w:left="132"/>
    </w:pPr>
  </w:style>
  <w:style w:type="paragraph" w:styleId="BalloonText">
    <w:name w:val="Balloon Text"/>
    <w:basedOn w:val="Normal"/>
    <w:link w:val="BalloonTextChar"/>
    <w:uiPriority w:val="99"/>
    <w:semiHidden/>
    <w:unhideWhenUsed/>
    <w:rsid w:val="004D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1E7"/>
    <w:rPr>
      <w:rFonts w:ascii="Segoe UI" w:eastAsia="Verdana" w:hAnsi="Segoe UI" w:cs="Segoe UI"/>
      <w:sz w:val="18"/>
      <w:szCs w:val="18"/>
      <w:lang w:bidi="en-US"/>
    </w:rPr>
  </w:style>
  <w:style w:type="character" w:customStyle="1" w:styleId="ListParagraphChar">
    <w:name w:val="List Paragraph Char"/>
    <w:aliases w:val="List Paragraph (numbered (a)) Char,Lapis Bulleted List Char"/>
    <w:basedOn w:val="DefaultParagraphFont"/>
    <w:link w:val="ListParagraph"/>
    <w:uiPriority w:val="1"/>
    <w:rsid w:val="00D97BF1"/>
    <w:rPr>
      <w:rFonts w:ascii="Verdana" w:eastAsia="Verdana" w:hAnsi="Verdana" w:cs="Verdana"/>
      <w:lang w:bidi="en-US"/>
    </w:rPr>
  </w:style>
  <w:style w:type="character" w:styleId="CommentReference">
    <w:name w:val="annotation reference"/>
    <w:basedOn w:val="DefaultParagraphFont"/>
    <w:uiPriority w:val="99"/>
    <w:semiHidden/>
    <w:unhideWhenUsed/>
    <w:rsid w:val="002B1D6F"/>
    <w:rPr>
      <w:sz w:val="16"/>
      <w:szCs w:val="16"/>
    </w:rPr>
  </w:style>
  <w:style w:type="paragraph" w:styleId="CommentText">
    <w:name w:val="annotation text"/>
    <w:basedOn w:val="Normal"/>
    <w:link w:val="CommentTextChar"/>
    <w:uiPriority w:val="99"/>
    <w:semiHidden/>
    <w:unhideWhenUsed/>
    <w:rsid w:val="002B1D6F"/>
    <w:rPr>
      <w:sz w:val="20"/>
      <w:szCs w:val="20"/>
    </w:rPr>
  </w:style>
  <w:style w:type="character" w:customStyle="1" w:styleId="CommentTextChar">
    <w:name w:val="Comment Text Char"/>
    <w:basedOn w:val="DefaultParagraphFont"/>
    <w:link w:val="CommentText"/>
    <w:uiPriority w:val="99"/>
    <w:semiHidden/>
    <w:rsid w:val="002B1D6F"/>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2B1D6F"/>
    <w:rPr>
      <w:b/>
      <w:bCs/>
    </w:rPr>
  </w:style>
  <w:style w:type="character" w:customStyle="1" w:styleId="CommentSubjectChar">
    <w:name w:val="Comment Subject Char"/>
    <w:basedOn w:val="CommentTextChar"/>
    <w:link w:val="CommentSubject"/>
    <w:uiPriority w:val="99"/>
    <w:semiHidden/>
    <w:rsid w:val="002B1D6F"/>
    <w:rPr>
      <w:rFonts w:ascii="Verdana" w:eastAsia="Verdana" w:hAnsi="Verdana" w:cs="Verdana"/>
      <w:b/>
      <w:bCs/>
      <w:sz w:val="20"/>
      <w:szCs w:val="20"/>
      <w:lang w:bidi="en-US"/>
    </w:rPr>
  </w:style>
  <w:style w:type="paragraph" w:customStyle="1" w:styleId="A">
    <w:name w:val="Основной текст A"/>
    <w:rsid w:val="005B162B"/>
    <w:pPr>
      <w:widowControl/>
      <w:spacing w:after="200" w:line="276" w:lineRule="auto"/>
    </w:pPr>
    <w:rPr>
      <w:rFonts w:ascii="Calibri" w:eastAsia="Calibri" w:hAnsi="Calibri" w:cs="Calibri"/>
      <w:color w:val="000000"/>
      <w:u w:color="000000"/>
      <w14:textOutline w14:w="12700" w14:cap="flat" w14:cmpd="sng" w14:algn="ctr">
        <w14:noFill/>
        <w14:prstDash w14:val="solid"/>
        <w14:miter w14:lim="100000"/>
      </w14:textOutline>
    </w:rPr>
  </w:style>
  <w:style w:type="character" w:customStyle="1" w:styleId="a0">
    <w:name w:val="Нет"/>
    <w:rsid w:val="005B162B"/>
  </w:style>
  <w:style w:type="character" w:styleId="Hyperlink">
    <w:name w:val="Hyperlink"/>
    <w:semiHidden/>
    <w:unhideWhenUsed/>
    <w:rsid w:val="00493C6E"/>
    <w:rPr>
      <w:u w:val="single"/>
    </w:rPr>
  </w:style>
  <w:style w:type="paragraph" w:customStyle="1" w:styleId="Default">
    <w:name w:val="Default"/>
    <w:rsid w:val="005165D7"/>
    <w:pPr>
      <w:widowControl/>
      <w:adjustRightInd w:val="0"/>
    </w:pPr>
    <w:rPr>
      <w:color w:val="000000"/>
      <w:sz w:val="24"/>
      <w:szCs w:val="24"/>
    </w:rPr>
  </w:style>
  <w:style w:type="character" w:customStyle="1" w:styleId="BodyTextChar">
    <w:name w:val="Body Text Char"/>
    <w:basedOn w:val="DefaultParagraphFont"/>
    <w:link w:val="BodyText"/>
    <w:uiPriority w:val="1"/>
    <w:rsid w:val="00A06F6C"/>
    <w:rPr>
      <w:rFonts w:ascii="Verdana" w:eastAsia="Verdana" w:hAnsi="Verdana" w:cs="Verdana"/>
      <w:lang w:bidi="en-US"/>
    </w:rPr>
  </w:style>
  <w:style w:type="paragraph" w:customStyle="1" w:styleId="Text2">
    <w:name w:val="Text 2"/>
    <w:basedOn w:val="Normal"/>
    <w:rsid w:val="0053035E"/>
    <w:pPr>
      <w:widowControl/>
      <w:tabs>
        <w:tab w:val="left" w:pos="2161"/>
      </w:tabs>
      <w:spacing w:after="240"/>
      <w:ind w:left="1202"/>
      <w:jc w:val="both"/>
    </w:pPr>
    <w:rPr>
      <w:rFonts w:ascii="Arial" w:eastAsia="Times New Roman" w:hAnsi="Arial" w:cs="Times New Roman"/>
      <w:sz w:val="20"/>
      <w:szCs w:val="20"/>
      <w:lang w:bidi="ar-SA"/>
    </w:rPr>
  </w:style>
  <w:style w:type="paragraph" w:styleId="NormalWeb">
    <w:name w:val="Normal (Web)"/>
    <w:basedOn w:val="Normal"/>
    <w:uiPriority w:val="99"/>
    <w:semiHidden/>
    <w:unhideWhenUsed/>
    <w:rsid w:val="00B35791"/>
    <w:pPr>
      <w:widowControl/>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18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C41"/>
    <w:rPr>
      <w:sz w:val="20"/>
      <w:szCs w:val="20"/>
    </w:rPr>
  </w:style>
  <w:style w:type="character" w:customStyle="1" w:styleId="FootnoteTextChar">
    <w:name w:val="Footnote Text Char"/>
    <w:basedOn w:val="DefaultParagraphFont"/>
    <w:link w:val="FootnoteText"/>
    <w:uiPriority w:val="99"/>
    <w:semiHidden/>
    <w:rsid w:val="00480C41"/>
    <w:rPr>
      <w:rFonts w:ascii="Verdana" w:eastAsia="Verdana" w:hAnsi="Verdana" w:cs="Verdana"/>
      <w:sz w:val="20"/>
      <w:szCs w:val="20"/>
      <w:lang w:bidi="en-US"/>
    </w:rPr>
  </w:style>
  <w:style w:type="character" w:styleId="FootnoteReference">
    <w:name w:val="footnote reference"/>
    <w:basedOn w:val="DefaultParagraphFont"/>
    <w:uiPriority w:val="99"/>
    <w:semiHidden/>
    <w:unhideWhenUsed/>
    <w:rsid w:val="00480C41"/>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o32udrMazYg5LfpiXgBOGNwoQ==">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Halyna Kokhan</dc:creator>
  <cp:lastModifiedBy>Yana Ryzak</cp:lastModifiedBy>
  <cp:revision>5</cp:revision>
  <dcterms:created xsi:type="dcterms:W3CDTF">2024-04-25T13:37:00Z</dcterms:created>
  <dcterms:modified xsi:type="dcterms:W3CDTF">2024-04-29T09:35:00Z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2019-09-13T00:00:00Z</vt:filetime>
  </property>
  <property fmtid="{D5CDD505-2E9C-101B-9397-08002B2CF9AE}" pid="5" name="sipTrackRevision">
    <vt:lpwstr>false</vt:lpwstr>
  </property>
</Properties>
</file>